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7FC0" w14:textId="77777777" w:rsidR="00A6795C" w:rsidRDefault="00A6795C" w:rsidP="00E953D5">
      <w:pPr>
        <w:contextualSpacing/>
        <w:rPr>
          <w:b/>
          <w:bCs/>
        </w:rPr>
      </w:pPr>
    </w:p>
    <w:p w14:paraId="6DFD333F" w14:textId="0358617C" w:rsidR="0008210F" w:rsidRPr="005E77D7" w:rsidRDefault="0008210F" w:rsidP="005E77D7">
      <w:pPr>
        <w:contextualSpacing/>
        <w:jc w:val="center"/>
        <w:rPr>
          <w:b/>
          <w:bCs/>
        </w:rPr>
      </w:pPr>
      <w:r w:rsidRPr="005E77D7">
        <w:rPr>
          <w:b/>
          <w:bCs/>
        </w:rPr>
        <w:t>NIHR BRC Healthcare Professional Placement Scheme – Project Proposal</w:t>
      </w:r>
      <w:r w:rsidR="001C5EFC">
        <w:rPr>
          <w:b/>
          <w:bCs/>
        </w:rPr>
        <w:t xml:space="preserve"> Form</w:t>
      </w:r>
    </w:p>
    <w:p w14:paraId="0FF2ABAF" w14:textId="77777777" w:rsidR="0008210F" w:rsidRDefault="0008210F" w:rsidP="00513D82">
      <w:pPr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8210F" w14:paraId="1091FF5E" w14:textId="77777777" w:rsidTr="00CB1EFB">
        <w:tc>
          <w:tcPr>
            <w:tcW w:w="2547" w:type="dxa"/>
            <w:shd w:val="clear" w:color="auto" w:fill="F2F2F2" w:themeFill="background1" w:themeFillShade="F2"/>
          </w:tcPr>
          <w:p w14:paraId="79D0C4E8" w14:textId="2CD3BDF2" w:rsidR="0008210F" w:rsidRPr="00E872CB" w:rsidRDefault="0008210F" w:rsidP="00513D82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BRC Cluster:</w:t>
            </w:r>
          </w:p>
        </w:tc>
        <w:tc>
          <w:tcPr>
            <w:tcW w:w="6469" w:type="dxa"/>
          </w:tcPr>
          <w:p w14:paraId="591EE05C" w14:textId="68F218FD" w:rsidR="00491719" w:rsidRDefault="00550D63" w:rsidP="00513D82">
            <w:pPr>
              <w:contextualSpacing/>
              <w:jc w:val="both"/>
            </w:pPr>
            <w:r>
              <w:t>Cancer</w:t>
            </w:r>
          </w:p>
        </w:tc>
      </w:tr>
      <w:tr w:rsidR="0008210F" w14:paraId="644C595D" w14:textId="77777777" w:rsidTr="00CB1EFB">
        <w:tc>
          <w:tcPr>
            <w:tcW w:w="2547" w:type="dxa"/>
            <w:shd w:val="clear" w:color="auto" w:fill="F2F2F2" w:themeFill="background1" w:themeFillShade="F2"/>
          </w:tcPr>
          <w:p w14:paraId="4BFE79BC" w14:textId="53B45B81" w:rsidR="0008210F" w:rsidRPr="00E872CB" w:rsidRDefault="0008210F" w:rsidP="00513D82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BRC Theme:</w:t>
            </w:r>
          </w:p>
        </w:tc>
        <w:tc>
          <w:tcPr>
            <w:tcW w:w="6469" w:type="dxa"/>
          </w:tcPr>
          <w:p w14:paraId="7C911129" w14:textId="02A218F1" w:rsidR="00491719" w:rsidRDefault="00550D63" w:rsidP="00513D82">
            <w:pPr>
              <w:contextualSpacing/>
              <w:jc w:val="both"/>
            </w:pPr>
            <w:r>
              <w:t>Living with and beyond cancer / Advanced Radiotherapy</w:t>
            </w:r>
          </w:p>
        </w:tc>
      </w:tr>
      <w:tr w:rsidR="0008210F" w14:paraId="0253C1C3" w14:textId="77777777" w:rsidTr="00CB1EFB">
        <w:tc>
          <w:tcPr>
            <w:tcW w:w="2547" w:type="dxa"/>
            <w:shd w:val="clear" w:color="auto" w:fill="F2F2F2" w:themeFill="background1" w:themeFillShade="F2"/>
          </w:tcPr>
          <w:p w14:paraId="600D2E35" w14:textId="5B610B4B" w:rsidR="0008210F" w:rsidRPr="00E872CB" w:rsidRDefault="0008210F" w:rsidP="00513D82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Project Title:</w:t>
            </w:r>
          </w:p>
        </w:tc>
        <w:tc>
          <w:tcPr>
            <w:tcW w:w="6469" w:type="dxa"/>
          </w:tcPr>
          <w:p w14:paraId="74B296E5" w14:textId="5DC981AE" w:rsidR="00491719" w:rsidRPr="00E953D5" w:rsidRDefault="00DE6AEF" w:rsidP="007336B6">
            <w:pPr>
              <w:rPr>
                <w:b/>
                <w:bCs/>
                <w:sz w:val="20"/>
                <w:szCs w:val="20"/>
              </w:rPr>
            </w:pPr>
            <w:r w:rsidRPr="00E953D5">
              <w:rPr>
                <w:b/>
                <w:bCs/>
              </w:rPr>
              <w:t xml:space="preserve">Understanding </w:t>
            </w:r>
            <w:r w:rsidR="001633C6" w:rsidRPr="00E953D5">
              <w:rPr>
                <w:b/>
                <w:bCs/>
              </w:rPr>
              <w:t>p</w:t>
            </w:r>
            <w:r w:rsidRPr="00E953D5">
              <w:rPr>
                <w:b/>
                <w:bCs/>
              </w:rPr>
              <w:t>a</w:t>
            </w:r>
            <w:r w:rsidR="00F868D0" w:rsidRPr="00E953D5">
              <w:rPr>
                <w:b/>
                <w:bCs/>
              </w:rPr>
              <w:t xml:space="preserve">ediatric </w:t>
            </w:r>
            <w:r w:rsidR="001633C6" w:rsidRPr="00E953D5">
              <w:rPr>
                <w:b/>
                <w:bCs/>
              </w:rPr>
              <w:t>c</w:t>
            </w:r>
            <w:r w:rsidR="00F868D0" w:rsidRPr="00E953D5">
              <w:rPr>
                <w:b/>
                <w:bCs/>
              </w:rPr>
              <w:t xml:space="preserve">ranio-facial </w:t>
            </w:r>
            <w:r w:rsidR="001633C6" w:rsidRPr="00E953D5">
              <w:rPr>
                <w:b/>
                <w:bCs/>
              </w:rPr>
              <w:t>g</w:t>
            </w:r>
            <w:r w:rsidR="00F868D0" w:rsidRPr="00E953D5">
              <w:rPr>
                <w:b/>
                <w:bCs/>
              </w:rPr>
              <w:t>rowth</w:t>
            </w:r>
            <w:r w:rsidR="001633C6" w:rsidRPr="00E953D5">
              <w:rPr>
                <w:b/>
                <w:bCs/>
              </w:rPr>
              <w:t xml:space="preserve"> after head and neck radiotherapy</w:t>
            </w:r>
          </w:p>
        </w:tc>
      </w:tr>
    </w:tbl>
    <w:p w14:paraId="0D1F1DF7" w14:textId="1C7ABA07" w:rsidR="00466B1F" w:rsidRDefault="00466B1F" w:rsidP="00466B1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A4793" w14:paraId="3A25093C" w14:textId="77777777" w:rsidTr="00DD23A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8059B55" w14:textId="0BF0659D" w:rsidR="006A4793" w:rsidRPr="00E872CB" w:rsidRDefault="006A4793" w:rsidP="005D076E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Practice Supervisor</w:t>
            </w:r>
          </w:p>
        </w:tc>
      </w:tr>
      <w:tr w:rsidR="006A4793" w14:paraId="1F61F118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57F63B28" w14:textId="7C5AE067" w:rsidR="006A4793" w:rsidRDefault="006A4793" w:rsidP="005D076E">
            <w:pPr>
              <w:contextualSpacing/>
              <w:jc w:val="both"/>
            </w:pPr>
            <w:r>
              <w:t>Name:</w:t>
            </w:r>
          </w:p>
        </w:tc>
        <w:tc>
          <w:tcPr>
            <w:tcW w:w="6469" w:type="dxa"/>
          </w:tcPr>
          <w:p w14:paraId="0C053809" w14:textId="4E9D76AC" w:rsidR="00E369E6" w:rsidRDefault="00D07D4B" w:rsidP="005D076E">
            <w:pPr>
              <w:contextualSpacing/>
              <w:jc w:val="both"/>
            </w:pPr>
            <w:r>
              <w:t xml:space="preserve">Lucy Davies, </w:t>
            </w:r>
            <w:r w:rsidR="00926A73">
              <w:t>NIHR Doctoral Clinical Academic Fellow/Research Radiographer</w:t>
            </w:r>
          </w:p>
          <w:p w14:paraId="1C485E9A" w14:textId="50859720" w:rsidR="00491719" w:rsidRDefault="00550D63" w:rsidP="005D076E">
            <w:pPr>
              <w:contextualSpacing/>
              <w:jc w:val="both"/>
            </w:pPr>
            <w:r>
              <w:t xml:space="preserve">Cynthia Eccles, Head of </w:t>
            </w:r>
            <w:r w:rsidR="000A254C">
              <w:t xml:space="preserve">Translational </w:t>
            </w:r>
            <w:r>
              <w:t>Radiotherapy Research</w:t>
            </w:r>
          </w:p>
        </w:tc>
      </w:tr>
      <w:tr w:rsidR="006A4793" w14:paraId="5E51F84E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39E01837" w14:textId="455FBF70" w:rsidR="006A4793" w:rsidRDefault="006A4793" w:rsidP="005D076E">
            <w:pPr>
              <w:contextualSpacing/>
              <w:jc w:val="both"/>
            </w:pPr>
            <w:r>
              <w:t>Base:</w:t>
            </w:r>
          </w:p>
        </w:tc>
        <w:tc>
          <w:tcPr>
            <w:tcW w:w="6469" w:type="dxa"/>
          </w:tcPr>
          <w:p w14:paraId="650DD284" w14:textId="34CCF605" w:rsidR="00491719" w:rsidRDefault="000A254C" w:rsidP="005D076E">
            <w:pPr>
              <w:contextualSpacing/>
              <w:jc w:val="both"/>
            </w:pPr>
            <w:r>
              <w:t xml:space="preserve">Radiotherapy, </w:t>
            </w:r>
            <w:r w:rsidR="00E426CC">
              <w:t xml:space="preserve">The </w:t>
            </w:r>
            <w:r>
              <w:t>Christie NHS</w:t>
            </w:r>
            <w:r w:rsidR="00E426CC">
              <w:t xml:space="preserve"> FT</w:t>
            </w:r>
          </w:p>
        </w:tc>
      </w:tr>
      <w:tr w:rsidR="006A4793" w14:paraId="18D2E8A9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10EC6147" w14:textId="609EC4F7" w:rsidR="006A4793" w:rsidRDefault="006A4793" w:rsidP="005D076E">
            <w:pPr>
              <w:contextualSpacing/>
              <w:jc w:val="both"/>
            </w:pPr>
            <w:r>
              <w:t>Email Address:</w:t>
            </w:r>
          </w:p>
        </w:tc>
        <w:tc>
          <w:tcPr>
            <w:tcW w:w="6469" w:type="dxa"/>
          </w:tcPr>
          <w:p w14:paraId="575CA92C" w14:textId="37000925" w:rsidR="00491719" w:rsidRDefault="00E426CC" w:rsidP="005D076E">
            <w:pPr>
              <w:contextualSpacing/>
              <w:jc w:val="both"/>
            </w:pPr>
            <w:hyperlink r:id="rId10" w:history="1">
              <w:r w:rsidRPr="006829A5">
                <w:rPr>
                  <w:rStyle w:val="Hyperlink"/>
                </w:rPr>
                <w:t>l.davies33@nhs.net</w:t>
              </w:r>
            </w:hyperlink>
            <w:r>
              <w:t xml:space="preserve"> </w:t>
            </w:r>
            <w:r w:rsidR="009B25F4">
              <w:t xml:space="preserve">/ </w:t>
            </w:r>
            <w:hyperlink r:id="rId11" w:history="1">
              <w:r w:rsidR="009B25F4" w:rsidRPr="006829A5">
                <w:rPr>
                  <w:rStyle w:val="Hyperlink"/>
                </w:rPr>
                <w:t>cynthia.eccles1@nhs.net</w:t>
              </w:r>
            </w:hyperlink>
            <w:r w:rsidR="009B25F4">
              <w:t xml:space="preserve"> </w:t>
            </w:r>
          </w:p>
        </w:tc>
      </w:tr>
      <w:tr w:rsidR="006A4793" w14:paraId="3116C06E" w14:textId="77777777" w:rsidTr="00B8416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29FA201" w14:textId="2076F434" w:rsidR="006A4793" w:rsidRPr="00E872CB" w:rsidRDefault="006A4793" w:rsidP="005D076E">
            <w:pPr>
              <w:contextualSpacing/>
              <w:jc w:val="both"/>
              <w:rPr>
                <w:b/>
                <w:bCs/>
              </w:rPr>
            </w:pPr>
            <w:r w:rsidRPr="00E872CB">
              <w:rPr>
                <w:b/>
                <w:bCs/>
              </w:rPr>
              <w:t>Academic Supervisor</w:t>
            </w:r>
          </w:p>
        </w:tc>
      </w:tr>
      <w:tr w:rsidR="00550D63" w14:paraId="60F25E3E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45303FCC" w14:textId="06D34F44" w:rsidR="00550D63" w:rsidRDefault="00550D63" w:rsidP="00550D63">
            <w:pPr>
              <w:contextualSpacing/>
              <w:jc w:val="both"/>
            </w:pPr>
            <w:r>
              <w:t>Name:</w:t>
            </w:r>
          </w:p>
        </w:tc>
        <w:tc>
          <w:tcPr>
            <w:tcW w:w="6469" w:type="dxa"/>
          </w:tcPr>
          <w:p w14:paraId="670C6101" w14:textId="50E1DB63" w:rsidR="00550D63" w:rsidRDefault="00550D63" w:rsidP="00550D63">
            <w:pPr>
              <w:contextualSpacing/>
              <w:jc w:val="both"/>
            </w:pPr>
            <w:r>
              <w:t>Marianne Aznar</w:t>
            </w:r>
          </w:p>
        </w:tc>
      </w:tr>
      <w:tr w:rsidR="00550D63" w14:paraId="0814EFC3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0B0B370A" w14:textId="7394A50A" w:rsidR="00550D63" w:rsidRDefault="00550D63" w:rsidP="00550D63">
            <w:pPr>
              <w:contextualSpacing/>
              <w:jc w:val="both"/>
            </w:pPr>
            <w:r>
              <w:t>Base:</w:t>
            </w:r>
          </w:p>
        </w:tc>
        <w:tc>
          <w:tcPr>
            <w:tcW w:w="6469" w:type="dxa"/>
          </w:tcPr>
          <w:p w14:paraId="484B33F4" w14:textId="4D00DFCD" w:rsidR="00550D63" w:rsidRDefault="00550D63" w:rsidP="00550D63">
            <w:pPr>
              <w:contextualSpacing/>
              <w:jc w:val="both"/>
            </w:pPr>
            <w:r>
              <w:t>Radiotherapy-Related Research group, Paterson building</w:t>
            </w:r>
            <w:r w:rsidR="001B09EF">
              <w:t>, Division of Cancer Sciences, University of Manchester</w:t>
            </w:r>
          </w:p>
        </w:tc>
      </w:tr>
      <w:tr w:rsidR="00550D63" w:rsidRPr="00737E75" w14:paraId="157FD508" w14:textId="77777777" w:rsidTr="005D076E">
        <w:tc>
          <w:tcPr>
            <w:tcW w:w="2547" w:type="dxa"/>
            <w:shd w:val="clear" w:color="auto" w:fill="F2F2F2" w:themeFill="background1" w:themeFillShade="F2"/>
          </w:tcPr>
          <w:p w14:paraId="5BC3D656" w14:textId="288C5976" w:rsidR="00550D63" w:rsidRDefault="00550D63" w:rsidP="00550D63">
            <w:pPr>
              <w:contextualSpacing/>
              <w:jc w:val="both"/>
            </w:pPr>
            <w:r>
              <w:t>Email Address:</w:t>
            </w:r>
          </w:p>
        </w:tc>
        <w:tc>
          <w:tcPr>
            <w:tcW w:w="6469" w:type="dxa"/>
          </w:tcPr>
          <w:p w14:paraId="030297A2" w14:textId="4313DDCA" w:rsidR="00550D63" w:rsidRPr="00737E75" w:rsidRDefault="009B25F4" w:rsidP="00550D63">
            <w:pPr>
              <w:contextualSpacing/>
              <w:jc w:val="both"/>
            </w:pPr>
            <w:hyperlink r:id="rId12" w:history="1">
              <w:r w:rsidRPr="006829A5">
                <w:rPr>
                  <w:rStyle w:val="Hyperlink"/>
                </w:rPr>
                <w:t>Marianne.aznar@manchester.ac.uk</w:t>
              </w:r>
            </w:hyperlink>
            <w:r>
              <w:t xml:space="preserve"> </w:t>
            </w:r>
          </w:p>
        </w:tc>
      </w:tr>
    </w:tbl>
    <w:p w14:paraId="481C200F" w14:textId="36A41E5D" w:rsidR="006A4793" w:rsidRPr="00737E75" w:rsidRDefault="006A4793" w:rsidP="00466B1F">
      <w:pPr>
        <w:rPr>
          <w:b/>
          <w:bCs/>
        </w:rPr>
      </w:pPr>
      <w:r w:rsidRPr="00737E75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793" w14:paraId="1BB230A6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24604134" w14:textId="77777777" w:rsidR="006A4793" w:rsidRDefault="006A4793" w:rsidP="005D076E">
            <w:pPr>
              <w:contextualSpacing/>
              <w:jc w:val="both"/>
            </w:pPr>
            <w:r>
              <w:t>Background and Project Details:</w:t>
            </w:r>
          </w:p>
        </w:tc>
      </w:tr>
      <w:tr w:rsidR="006A4793" w14:paraId="5DB65897" w14:textId="77777777" w:rsidTr="005D076E">
        <w:tc>
          <w:tcPr>
            <w:tcW w:w="9016" w:type="dxa"/>
          </w:tcPr>
          <w:p w14:paraId="0BB197F7" w14:textId="77777777" w:rsidR="00D07A6D" w:rsidRDefault="00D07A6D" w:rsidP="008211C3">
            <w:pPr>
              <w:jc w:val="both"/>
              <w:rPr>
                <w:u w:val="single"/>
              </w:rPr>
            </w:pPr>
          </w:p>
          <w:p w14:paraId="10E1EA00" w14:textId="53DF2E67" w:rsidR="00A9676B" w:rsidRDefault="005D2040" w:rsidP="008211C3">
            <w:pPr>
              <w:jc w:val="both"/>
            </w:pPr>
            <w:r w:rsidRPr="005D2040">
              <w:rPr>
                <w:u w:val="single"/>
              </w:rPr>
              <w:t>Rationale</w:t>
            </w:r>
          </w:p>
          <w:p w14:paraId="52077C05" w14:textId="1C338D83" w:rsidR="00635B49" w:rsidRDefault="00102540" w:rsidP="00491719">
            <w:pPr>
              <w:jc w:val="both"/>
            </w:pPr>
            <w:r>
              <w:t>For children with</w:t>
            </w:r>
            <w:r w:rsidR="00B236B0">
              <w:t xml:space="preserve"> malignanc</w:t>
            </w:r>
            <w:r w:rsidR="00621FED">
              <w:t>ies</w:t>
            </w:r>
            <w:r w:rsidR="00B236B0">
              <w:t xml:space="preserve"> in the</w:t>
            </w:r>
            <w:r>
              <w:t xml:space="preserve"> head and neck</w:t>
            </w:r>
            <w:r w:rsidR="0029783B">
              <w:t xml:space="preserve"> region</w:t>
            </w:r>
            <w:r>
              <w:t xml:space="preserve">, radiotherapy is an essential treatment modality. </w:t>
            </w:r>
            <w:r w:rsidR="00970C5A">
              <w:t xml:space="preserve">However, </w:t>
            </w:r>
            <w:r w:rsidR="00A9676B" w:rsidRPr="00A9676B">
              <w:t xml:space="preserve">radiation can affect the </w:t>
            </w:r>
            <w:r w:rsidR="00426C7B">
              <w:t xml:space="preserve">healthy </w:t>
            </w:r>
            <w:r w:rsidR="00A9676B" w:rsidRPr="00A9676B">
              <w:t>growth</w:t>
            </w:r>
            <w:r w:rsidR="0029783B">
              <w:t xml:space="preserve"> and development</w:t>
            </w:r>
            <w:r w:rsidR="00A9676B" w:rsidRPr="00A9676B">
              <w:t xml:space="preserve"> of facial bones, teeth, and soft tissue. This lead</w:t>
            </w:r>
            <w:r w:rsidR="00F81081">
              <w:t>s</w:t>
            </w:r>
            <w:r w:rsidR="00A9676B" w:rsidRPr="00A9676B">
              <w:t xml:space="preserve"> to l</w:t>
            </w:r>
            <w:r w:rsidR="00426C7B">
              <w:t>ife-altering late effects</w:t>
            </w:r>
            <w:r w:rsidR="00A9676B" w:rsidRPr="00A9676B">
              <w:t xml:space="preserve"> </w:t>
            </w:r>
            <w:r w:rsidR="00BC68C3">
              <w:t>such as</w:t>
            </w:r>
            <w:r w:rsidR="00A9676B" w:rsidRPr="00A9676B">
              <w:t xml:space="preserve"> asymmetrical </w:t>
            </w:r>
            <w:r w:rsidR="003E670E">
              <w:t xml:space="preserve">growth </w:t>
            </w:r>
            <w:r w:rsidR="00A9676B" w:rsidRPr="00A9676B">
              <w:t xml:space="preserve">or deformed facial features and poor dental health. These changes can negatively impact the self-image and mental health of survivors and </w:t>
            </w:r>
            <w:r w:rsidR="00246482">
              <w:t>affect</w:t>
            </w:r>
            <w:r w:rsidR="00A9676B" w:rsidRPr="00A9676B">
              <w:t xml:space="preserve"> the</w:t>
            </w:r>
            <w:r w:rsidR="00EA5009">
              <w:t xml:space="preserve"> individual’s</w:t>
            </w:r>
            <w:r w:rsidR="00A9676B" w:rsidRPr="00A9676B">
              <w:t xml:space="preserve"> ability to eat and communicate. </w:t>
            </w:r>
            <w:r w:rsidR="0031611E">
              <w:t>Facial deformation has been reported in ap</w:t>
            </w:r>
            <w:r w:rsidR="00115C28">
              <w:t xml:space="preserve">proximately 77% of children treated </w:t>
            </w:r>
            <w:r w:rsidR="00914499">
              <w:t>with</w:t>
            </w:r>
            <w:r w:rsidR="00115C28">
              <w:t xml:space="preserve"> head and neck radiotherapy (</w:t>
            </w:r>
            <w:r w:rsidR="0092751F">
              <w:t xml:space="preserve">Lockney et al, 2016). </w:t>
            </w:r>
            <w:r w:rsidR="00A9676B" w:rsidRPr="00A9676B">
              <w:t xml:space="preserve">Correcting facial deformations is </w:t>
            </w:r>
            <w:r w:rsidR="007E5CDE">
              <w:t>challenging in an irradiated area</w:t>
            </w:r>
            <w:r w:rsidR="00A9676B" w:rsidRPr="00A9676B">
              <w:t xml:space="preserve"> and often requires multiple surgeries, which can be </w:t>
            </w:r>
            <w:r w:rsidR="00EA5009">
              <w:t xml:space="preserve">highly </w:t>
            </w:r>
            <w:r w:rsidR="00A9676B" w:rsidRPr="00A9676B">
              <w:t xml:space="preserve">stressful for </w:t>
            </w:r>
            <w:r w:rsidR="00367B9D">
              <w:t>childhood cancer survivors</w:t>
            </w:r>
            <w:r w:rsidR="00A9676B" w:rsidRPr="00A9676B">
              <w:t xml:space="preserve"> and their families.</w:t>
            </w:r>
            <w:r w:rsidR="005622A4">
              <w:t xml:space="preserve"> </w:t>
            </w:r>
            <w:r w:rsidR="00223FD8">
              <w:t xml:space="preserve">It is therefore important </w:t>
            </w:r>
            <w:r w:rsidR="00A24238">
              <w:t xml:space="preserve">we aim to proactively avoid </w:t>
            </w:r>
            <w:r w:rsidR="00D50A41">
              <w:t>such late effects</w:t>
            </w:r>
            <w:r w:rsidR="000C40DD">
              <w:t xml:space="preserve"> by </w:t>
            </w:r>
            <w:r w:rsidR="004F6855">
              <w:t>limiting unnecessary dose outside of the</w:t>
            </w:r>
            <w:r w:rsidR="00A31245">
              <w:t xml:space="preserve"> treatment</w:t>
            </w:r>
            <w:r w:rsidR="004F6855">
              <w:t xml:space="preserve"> target volume</w:t>
            </w:r>
            <w:r w:rsidR="00F81081">
              <w:t xml:space="preserve"> through more conformal radiotherapy (e.g., proton</w:t>
            </w:r>
            <w:r w:rsidR="009A4005">
              <w:t xml:space="preserve"> beam</w:t>
            </w:r>
            <w:r w:rsidR="00F81081">
              <w:t xml:space="preserve"> therapy).</w:t>
            </w:r>
            <w:r w:rsidR="004F6855">
              <w:t xml:space="preserve"> </w:t>
            </w:r>
            <w:r w:rsidR="005622A4">
              <w:t>A recent systematic review on facial deformation in childhood cancer survivors</w:t>
            </w:r>
            <w:r w:rsidR="006A1B65">
              <w:t xml:space="preserve"> after radiotherapy</w:t>
            </w:r>
            <w:r w:rsidR="005622A4">
              <w:t xml:space="preserve"> (</w:t>
            </w:r>
            <w:r w:rsidR="00EA7815">
              <w:t xml:space="preserve">publication </w:t>
            </w:r>
            <w:r w:rsidR="005622A4">
              <w:t>under review)</w:t>
            </w:r>
            <w:r w:rsidR="00EA7815">
              <w:t xml:space="preserve"> has highlighted</w:t>
            </w:r>
            <w:r w:rsidR="00BB3638">
              <w:t xml:space="preserve"> </w:t>
            </w:r>
            <w:r w:rsidR="00FC6B33">
              <w:t>a</w:t>
            </w:r>
            <w:r w:rsidR="008D770C">
              <w:t xml:space="preserve"> significant lack of understanding of dose</w:t>
            </w:r>
            <w:r w:rsidR="00410EAE">
              <w:t>-response</w:t>
            </w:r>
            <w:r w:rsidR="008D770C">
              <w:t xml:space="preserve"> and outcomes</w:t>
            </w:r>
            <w:r w:rsidR="00410EAE">
              <w:t xml:space="preserve">. </w:t>
            </w:r>
            <w:r w:rsidR="00EE13FC">
              <w:t xml:space="preserve">To address this, we have developed a multi-disciplinary, multi-centre dentofacial working group named SMILE </w:t>
            </w:r>
            <w:r w:rsidR="00EE13FC" w:rsidRPr="005565AC">
              <w:rPr>
                <w:rStyle w:val="Emphasis"/>
                <w:rFonts w:cstheme="minorHAnsi"/>
                <w:color w:val="1F1F1F"/>
              </w:rPr>
              <w:t>(</w:t>
            </w:r>
            <w:proofErr w:type="spellStart"/>
            <w:r w:rsidR="00EE13FC" w:rsidRPr="005565AC">
              <w:rPr>
                <w:rStyle w:val="Emphasis"/>
                <w:rFonts w:cstheme="minorHAnsi"/>
                <w:color w:val="1F1F1F"/>
              </w:rPr>
              <w:t>minimiSing</w:t>
            </w:r>
            <w:proofErr w:type="spellEnd"/>
            <w:r w:rsidR="00EE13FC" w:rsidRPr="005565AC">
              <w:rPr>
                <w:rStyle w:val="Emphasis"/>
                <w:rFonts w:cstheme="minorHAnsi"/>
                <w:color w:val="1F1F1F"/>
              </w:rPr>
              <w:t xml:space="preserve"> </w:t>
            </w:r>
            <w:proofErr w:type="spellStart"/>
            <w:r w:rsidR="00EE13FC" w:rsidRPr="005565AC">
              <w:rPr>
                <w:rStyle w:val="Emphasis"/>
                <w:rFonts w:cstheme="minorHAnsi"/>
                <w:color w:val="1F1F1F"/>
              </w:rPr>
              <w:t>long-terM</w:t>
            </w:r>
            <w:proofErr w:type="spellEnd"/>
            <w:r w:rsidR="00EE13FC" w:rsidRPr="005565AC">
              <w:rPr>
                <w:rStyle w:val="Emphasis"/>
                <w:rFonts w:cstheme="minorHAnsi"/>
                <w:color w:val="1F1F1F"/>
              </w:rPr>
              <w:t xml:space="preserve"> Impact on dentition and </w:t>
            </w:r>
            <w:proofErr w:type="spellStart"/>
            <w:r w:rsidR="00EE13FC" w:rsidRPr="005565AC">
              <w:rPr>
                <w:rStyle w:val="Emphasis"/>
                <w:rFonts w:cstheme="minorHAnsi"/>
                <w:color w:val="1F1F1F"/>
              </w:rPr>
              <w:t>faciaL</w:t>
            </w:r>
            <w:proofErr w:type="spellEnd"/>
            <w:r w:rsidR="00EE13FC" w:rsidRPr="005565AC">
              <w:rPr>
                <w:rStyle w:val="Emphasis"/>
                <w:rFonts w:cstheme="minorHAnsi"/>
                <w:color w:val="1F1F1F"/>
              </w:rPr>
              <w:t xml:space="preserve"> </w:t>
            </w:r>
            <w:r w:rsidR="00EE13FC">
              <w:rPr>
                <w:rStyle w:val="Emphasis"/>
                <w:rFonts w:cstheme="minorHAnsi"/>
                <w:color w:val="1F1F1F"/>
              </w:rPr>
              <w:t xml:space="preserve">deformation </w:t>
            </w:r>
            <w:r w:rsidR="00EE13FC" w:rsidRPr="005565AC">
              <w:rPr>
                <w:rStyle w:val="Emphasis"/>
                <w:rFonts w:cstheme="minorHAnsi"/>
                <w:color w:val="1F1F1F"/>
              </w:rPr>
              <w:t xml:space="preserve">in childhood </w:t>
            </w:r>
            <w:proofErr w:type="spellStart"/>
            <w:r w:rsidR="00EE13FC" w:rsidRPr="005565AC">
              <w:rPr>
                <w:rStyle w:val="Emphasis"/>
                <w:rFonts w:cstheme="minorHAnsi"/>
                <w:color w:val="1F1F1F"/>
              </w:rPr>
              <w:t>canc</w:t>
            </w:r>
            <w:r w:rsidR="00EE13FC">
              <w:rPr>
                <w:rStyle w:val="Emphasis"/>
                <w:rFonts w:cstheme="minorHAnsi"/>
                <w:color w:val="1F1F1F"/>
              </w:rPr>
              <w:t>E</w:t>
            </w:r>
            <w:r w:rsidR="00EE13FC" w:rsidRPr="005565AC">
              <w:rPr>
                <w:rStyle w:val="Emphasis"/>
                <w:rFonts w:cstheme="minorHAnsi"/>
                <w:color w:val="1F1F1F"/>
              </w:rPr>
              <w:t>r</w:t>
            </w:r>
            <w:proofErr w:type="spellEnd"/>
            <w:r w:rsidR="00EE13FC" w:rsidRPr="005565AC">
              <w:rPr>
                <w:rStyle w:val="Emphasis"/>
                <w:rFonts w:cstheme="minorHAnsi"/>
                <w:color w:val="1F1F1F"/>
              </w:rPr>
              <w:t xml:space="preserve"> survivors</w:t>
            </w:r>
            <w:r w:rsidR="00EE13FC" w:rsidRPr="005565AC">
              <w:rPr>
                <w:rFonts w:cstheme="minorHAnsi"/>
                <w:color w:val="1F1F1F"/>
              </w:rPr>
              <w:t>)</w:t>
            </w:r>
            <w:r w:rsidR="00EE13FC">
              <w:rPr>
                <w:rFonts w:cstheme="minorHAnsi"/>
                <w:color w:val="1F1F1F"/>
              </w:rPr>
              <w:t xml:space="preserve"> to drive and tail</w:t>
            </w:r>
            <w:r w:rsidR="00317FBE">
              <w:t>or research approaches</w:t>
            </w:r>
            <w:r w:rsidR="00C54301">
              <w:t xml:space="preserve"> (including understanding dose-response relationships</w:t>
            </w:r>
            <w:r w:rsidR="00F42184">
              <w:t xml:space="preserve"> and growth</w:t>
            </w:r>
            <w:r w:rsidR="00C54301">
              <w:t>)</w:t>
            </w:r>
            <w:r w:rsidR="00317FBE">
              <w:t xml:space="preserve"> to account for children’s developing physiology.</w:t>
            </w:r>
            <w:r w:rsidR="00412582">
              <w:t xml:space="preserve"> </w:t>
            </w:r>
          </w:p>
          <w:p w14:paraId="48900BDC" w14:textId="77777777" w:rsidR="00515477" w:rsidRDefault="00515477" w:rsidP="00491719">
            <w:pPr>
              <w:jc w:val="both"/>
              <w:rPr>
                <w:u w:val="single"/>
              </w:rPr>
            </w:pPr>
          </w:p>
          <w:p w14:paraId="7F3284A8" w14:textId="1C0D6E7E" w:rsidR="005D2040" w:rsidRDefault="005D2040" w:rsidP="00491719">
            <w:pPr>
              <w:jc w:val="both"/>
            </w:pPr>
            <w:r w:rsidRPr="005D2040">
              <w:rPr>
                <w:u w:val="single"/>
              </w:rPr>
              <w:t>Project details</w:t>
            </w:r>
          </w:p>
          <w:p w14:paraId="4AC23702" w14:textId="286DB426" w:rsidR="006F538F" w:rsidRPr="00367B9D" w:rsidRDefault="006F538F" w:rsidP="006D7958">
            <w:pPr>
              <w:jc w:val="both"/>
              <w:rPr>
                <w:i/>
                <w:iCs/>
                <w:color w:val="000000" w:themeColor="text1"/>
              </w:rPr>
            </w:pPr>
            <w:r w:rsidRPr="00367B9D">
              <w:rPr>
                <w:i/>
                <w:iCs/>
                <w:color w:val="000000" w:themeColor="text1"/>
              </w:rPr>
              <w:t>Aim</w:t>
            </w:r>
          </w:p>
          <w:p w14:paraId="4F119DD9" w14:textId="5E62DB3E" w:rsidR="003B43B5" w:rsidRDefault="006F538F" w:rsidP="006D795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This project aims to </w:t>
            </w:r>
            <w:r w:rsidR="008C2996">
              <w:rPr>
                <w:color w:val="000000" w:themeColor="text1"/>
              </w:rPr>
              <w:t>contribute to our understanding of linking radiotherapy to facial defor</w:t>
            </w:r>
            <w:r w:rsidR="003B43B5">
              <w:rPr>
                <w:color w:val="000000" w:themeColor="text1"/>
              </w:rPr>
              <w:t>mities</w:t>
            </w:r>
            <w:r w:rsidR="00066597">
              <w:rPr>
                <w:color w:val="000000" w:themeColor="text1"/>
              </w:rPr>
              <w:t xml:space="preserve">, specifically </w:t>
            </w:r>
            <w:r w:rsidR="00CE1000">
              <w:rPr>
                <w:color w:val="000000" w:themeColor="text1"/>
              </w:rPr>
              <w:t>h</w:t>
            </w:r>
            <w:r w:rsidR="003B43B5">
              <w:rPr>
                <w:color w:val="000000" w:themeColor="text1"/>
              </w:rPr>
              <w:t>ow different doses of radiation affect the gro</w:t>
            </w:r>
            <w:r w:rsidR="00066597">
              <w:rPr>
                <w:color w:val="000000" w:themeColor="text1"/>
              </w:rPr>
              <w:t xml:space="preserve">wth of bony structures in </w:t>
            </w:r>
            <w:r w:rsidR="00914499">
              <w:rPr>
                <w:color w:val="000000" w:themeColor="text1"/>
              </w:rPr>
              <w:t>a</w:t>
            </w:r>
            <w:r w:rsidR="001C749F">
              <w:rPr>
                <w:color w:val="000000" w:themeColor="text1"/>
              </w:rPr>
              <w:t xml:space="preserve"> developing</w:t>
            </w:r>
            <w:r w:rsidR="00066597">
              <w:rPr>
                <w:color w:val="000000" w:themeColor="text1"/>
              </w:rPr>
              <w:t xml:space="preserve"> </w:t>
            </w:r>
            <w:r w:rsidR="00914499">
              <w:rPr>
                <w:color w:val="000000" w:themeColor="text1"/>
              </w:rPr>
              <w:t>child.</w:t>
            </w:r>
          </w:p>
          <w:p w14:paraId="087673A0" w14:textId="77777777" w:rsidR="003B43B5" w:rsidRDefault="003B43B5" w:rsidP="006D7958">
            <w:pPr>
              <w:jc w:val="both"/>
              <w:rPr>
                <w:color w:val="000000" w:themeColor="text1"/>
              </w:rPr>
            </w:pPr>
          </w:p>
          <w:p w14:paraId="0CAFE3F5" w14:textId="47191090" w:rsidR="003905BB" w:rsidRPr="00367B9D" w:rsidRDefault="003905BB" w:rsidP="006D7958">
            <w:pPr>
              <w:jc w:val="both"/>
              <w:rPr>
                <w:i/>
                <w:iCs/>
                <w:color w:val="000000" w:themeColor="text1"/>
              </w:rPr>
            </w:pPr>
            <w:r w:rsidRPr="00367B9D">
              <w:rPr>
                <w:i/>
                <w:iCs/>
                <w:color w:val="000000" w:themeColor="text1"/>
              </w:rPr>
              <w:t xml:space="preserve">Methodology </w:t>
            </w:r>
          </w:p>
          <w:p w14:paraId="2AC0D123" w14:textId="3A43982D" w:rsidR="001A5CCF" w:rsidRDefault="00B01A0B" w:rsidP="00CF493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We </w:t>
            </w:r>
            <w:r w:rsidR="001A5CCF">
              <w:rPr>
                <w:color w:val="000000" w:themeColor="text1"/>
              </w:rPr>
              <w:t>propose to use</w:t>
            </w:r>
            <w:r w:rsidR="00782EB7">
              <w:rPr>
                <w:color w:val="000000" w:themeColor="text1"/>
              </w:rPr>
              <w:t xml:space="preserve"> an</w:t>
            </w:r>
            <w:r w:rsidR="001A5CCF">
              <w:rPr>
                <w:color w:val="000000" w:themeColor="text1"/>
              </w:rPr>
              <w:t xml:space="preserve"> anonymised </w:t>
            </w:r>
            <w:r w:rsidR="00600115">
              <w:rPr>
                <w:color w:val="000000" w:themeColor="text1"/>
              </w:rPr>
              <w:t xml:space="preserve">radiotherapy </w:t>
            </w:r>
            <w:r w:rsidR="001A5CCF">
              <w:rPr>
                <w:color w:val="000000" w:themeColor="text1"/>
              </w:rPr>
              <w:t>patient data</w:t>
            </w:r>
            <w:r w:rsidR="00782EB7">
              <w:rPr>
                <w:color w:val="000000" w:themeColor="text1"/>
              </w:rPr>
              <w:t>set</w:t>
            </w:r>
            <w:r w:rsidR="001A5CCF">
              <w:rPr>
                <w:color w:val="000000" w:themeColor="text1"/>
              </w:rPr>
              <w:t xml:space="preserve"> </w:t>
            </w:r>
            <w:r w:rsidR="00782EB7">
              <w:rPr>
                <w:color w:val="000000" w:themeColor="text1"/>
              </w:rPr>
              <w:t>from our international collaborators</w:t>
            </w:r>
            <w:r w:rsidR="00F07C9B">
              <w:rPr>
                <w:color w:val="000000" w:themeColor="text1"/>
              </w:rPr>
              <w:t xml:space="preserve"> </w:t>
            </w:r>
            <w:r w:rsidR="00914499">
              <w:rPr>
                <w:color w:val="000000" w:themeColor="text1"/>
              </w:rPr>
              <w:t>at</w:t>
            </w:r>
            <w:r w:rsidR="00782EB7">
              <w:rPr>
                <w:color w:val="000000" w:themeColor="text1"/>
              </w:rPr>
              <w:t xml:space="preserve"> St Jude</w:t>
            </w:r>
            <w:r w:rsidR="00600115">
              <w:rPr>
                <w:color w:val="000000" w:themeColor="text1"/>
              </w:rPr>
              <w:t xml:space="preserve"> Children’s Research </w:t>
            </w:r>
            <w:r w:rsidR="00EA373E">
              <w:rPr>
                <w:color w:val="000000" w:themeColor="text1"/>
              </w:rPr>
              <w:t>Hospital, Memphis</w:t>
            </w:r>
            <w:r w:rsidR="000704C0">
              <w:rPr>
                <w:color w:val="000000" w:themeColor="text1"/>
              </w:rPr>
              <w:t>,</w:t>
            </w:r>
            <w:r w:rsidR="00EA373E">
              <w:rPr>
                <w:color w:val="000000" w:themeColor="text1"/>
              </w:rPr>
              <w:t xml:space="preserve"> USA. </w:t>
            </w:r>
            <w:r w:rsidR="001600A6">
              <w:rPr>
                <w:color w:val="000000" w:themeColor="text1"/>
              </w:rPr>
              <w:t xml:space="preserve">This dataset comprises of </w:t>
            </w:r>
            <w:r w:rsidR="000704C0">
              <w:rPr>
                <w:color w:val="000000" w:themeColor="text1"/>
              </w:rPr>
              <w:t>31</w:t>
            </w:r>
            <w:r w:rsidR="00EA373E">
              <w:rPr>
                <w:color w:val="000000" w:themeColor="text1"/>
              </w:rPr>
              <w:t xml:space="preserve"> paediatric patients</w:t>
            </w:r>
            <w:r w:rsidR="008B4868">
              <w:rPr>
                <w:color w:val="000000" w:themeColor="text1"/>
              </w:rPr>
              <w:t xml:space="preserve"> (median age at radiother</w:t>
            </w:r>
            <w:r w:rsidR="004E500F">
              <w:rPr>
                <w:color w:val="000000" w:themeColor="text1"/>
              </w:rPr>
              <w:t>apy 8.5 years)</w:t>
            </w:r>
            <w:r w:rsidR="00EA373E">
              <w:rPr>
                <w:color w:val="000000" w:themeColor="text1"/>
              </w:rPr>
              <w:t xml:space="preserve"> with </w:t>
            </w:r>
            <w:r w:rsidR="00252FF0">
              <w:rPr>
                <w:color w:val="000000" w:themeColor="text1"/>
              </w:rPr>
              <w:t>rhabdomyosarcoma (</w:t>
            </w:r>
            <w:r w:rsidR="00EA373E">
              <w:rPr>
                <w:color w:val="000000" w:themeColor="text1"/>
              </w:rPr>
              <w:t>RMS</w:t>
            </w:r>
            <w:r w:rsidR="00252FF0">
              <w:rPr>
                <w:color w:val="000000" w:themeColor="text1"/>
              </w:rPr>
              <w:t>)</w:t>
            </w:r>
            <w:r w:rsidR="001C749F">
              <w:rPr>
                <w:color w:val="000000" w:themeColor="text1"/>
              </w:rPr>
              <w:t>/</w:t>
            </w:r>
            <w:r w:rsidR="00165655">
              <w:rPr>
                <w:color w:val="000000" w:themeColor="text1"/>
              </w:rPr>
              <w:t>soft tissue sarcoma</w:t>
            </w:r>
            <w:r w:rsidR="001C749F">
              <w:rPr>
                <w:color w:val="000000" w:themeColor="text1"/>
              </w:rPr>
              <w:t xml:space="preserve"> </w:t>
            </w:r>
            <w:r w:rsidR="00EA373E">
              <w:rPr>
                <w:color w:val="000000" w:themeColor="text1"/>
              </w:rPr>
              <w:t>treated with radiotherapy within the RMS13 trial, RT-SARC trial.</w:t>
            </w:r>
            <w:r w:rsidR="00A800E6">
              <w:rPr>
                <w:color w:val="000000" w:themeColor="text1"/>
              </w:rPr>
              <w:t xml:space="preserve"> For each patient case, we have </w:t>
            </w:r>
            <w:r w:rsidR="005C1A1C">
              <w:rPr>
                <w:color w:val="000000" w:themeColor="text1"/>
              </w:rPr>
              <w:t xml:space="preserve">the </w:t>
            </w:r>
            <w:r w:rsidR="00F34B00">
              <w:rPr>
                <w:color w:val="000000" w:themeColor="text1"/>
              </w:rPr>
              <w:t xml:space="preserve">individual </w:t>
            </w:r>
            <w:r w:rsidR="00D3760C">
              <w:rPr>
                <w:color w:val="000000" w:themeColor="text1"/>
              </w:rPr>
              <w:t>radiotherapy</w:t>
            </w:r>
            <w:r w:rsidR="00F34B00">
              <w:rPr>
                <w:color w:val="000000" w:themeColor="text1"/>
              </w:rPr>
              <w:t xml:space="preserve"> plan</w:t>
            </w:r>
            <w:r w:rsidR="00D3760C">
              <w:rPr>
                <w:color w:val="000000" w:themeColor="text1"/>
              </w:rPr>
              <w:t>,</w:t>
            </w:r>
            <w:r w:rsidR="00F34B00">
              <w:rPr>
                <w:color w:val="000000" w:themeColor="text1"/>
              </w:rPr>
              <w:t xml:space="preserve"> </w:t>
            </w:r>
            <w:r w:rsidR="00D3760C">
              <w:rPr>
                <w:color w:val="000000" w:themeColor="text1"/>
              </w:rPr>
              <w:t xml:space="preserve">baseline </w:t>
            </w:r>
            <w:r w:rsidR="0007430D">
              <w:rPr>
                <w:color w:val="000000" w:themeColor="text1"/>
              </w:rPr>
              <w:t>radiotherapy planning CT scan</w:t>
            </w:r>
            <w:r w:rsidR="00D3760C">
              <w:rPr>
                <w:color w:val="000000" w:themeColor="text1"/>
              </w:rPr>
              <w:t xml:space="preserve"> and </w:t>
            </w:r>
            <w:r w:rsidR="00443BA7">
              <w:rPr>
                <w:color w:val="000000" w:themeColor="text1"/>
              </w:rPr>
              <w:t>follow-up bone density CT scan</w:t>
            </w:r>
            <w:r w:rsidR="00EA05CF">
              <w:rPr>
                <w:color w:val="000000" w:themeColor="text1"/>
              </w:rPr>
              <w:t>s (</w:t>
            </w:r>
            <w:r w:rsidR="005C5CB2">
              <w:rPr>
                <w:color w:val="000000" w:themeColor="text1"/>
              </w:rPr>
              <w:t>median follow-up 9.7 years</w:t>
            </w:r>
            <w:r w:rsidR="00E839C1">
              <w:rPr>
                <w:color w:val="000000" w:themeColor="text1"/>
              </w:rPr>
              <w:t>)</w:t>
            </w:r>
            <w:r w:rsidR="005C5CB2">
              <w:rPr>
                <w:color w:val="000000" w:themeColor="text1"/>
              </w:rPr>
              <w:t>.</w:t>
            </w:r>
            <w:r w:rsidR="003263E9">
              <w:rPr>
                <w:color w:val="000000" w:themeColor="text1"/>
              </w:rPr>
              <w:t xml:space="preserve"> This is a unique dataset to have </w:t>
            </w:r>
            <w:r w:rsidR="0019465B">
              <w:rPr>
                <w:color w:val="000000" w:themeColor="text1"/>
              </w:rPr>
              <w:t>access to</w:t>
            </w:r>
            <w:r w:rsidR="00BC671E">
              <w:rPr>
                <w:color w:val="000000" w:themeColor="text1"/>
              </w:rPr>
              <w:t xml:space="preserve"> follow-up</w:t>
            </w:r>
            <w:r w:rsidR="0019465B">
              <w:rPr>
                <w:color w:val="000000" w:themeColor="text1"/>
              </w:rPr>
              <w:t xml:space="preserve"> </w:t>
            </w:r>
            <w:r w:rsidR="003263E9">
              <w:rPr>
                <w:color w:val="000000" w:themeColor="text1"/>
              </w:rPr>
              <w:t xml:space="preserve">CT </w:t>
            </w:r>
            <w:r w:rsidR="0019465B">
              <w:rPr>
                <w:color w:val="000000" w:themeColor="text1"/>
              </w:rPr>
              <w:t xml:space="preserve">imaging </w:t>
            </w:r>
            <w:r w:rsidR="003263E9">
              <w:rPr>
                <w:color w:val="000000" w:themeColor="text1"/>
              </w:rPr>
              <w:t>data</w:t>
            </w:r>
            <w:r w:rsidR="008C0D97">
              <w:rPr>
                <w:color w:val="000000" w:themeColor="text1"/>
              </w:rPr>
              <w:t xml:space="preserve"> as</w:t>
            </w:r>
            <w:r w:rsidR="003263E9">
              <w:rPr>
                <w:color w:val="000000" w:themeColor="text1"/>
              </w:rPr>
              <w:t xml:space="preserve"> patients are</w:t>
            </w:r>
            <w:r w:rsidR="004E4A33">
              <w:rPr>
                <w:color w:val="000000" w:themeColor="text1"/>
              </w:rPr>
              <w:t xml:space="preserve"> routinely</w:t>
            </w:r>
            <w:r w:rsidR="003263E9">
              <w:rPr>
                <w:color w:val="000000" w:themeColor="text1"/>
              </w:rPr>
              <w:t xml:space="preserve"> followed up with MRI (mitigating </w:t>
            </w:r>
            <w:r w:rsidR="0065093A">
              <w:rPr>
                <w:color w:val="000000" w:themeColor="text1"/>
              </w:rPr>
              <w:t xml:space="preserve">any </w:t>
            </w:r>
            <w:r w:rsidR="003263E9">
              <w:rPr>
                <w:color w:val="000000" w:themeColor="text1"/>
              </w:rPr>
              <w:t>radiation dose) which lacks the bone density data to be able to assess bone changes, i.e., growth and development.</w:t>
            </w:r>
          </w:p>
          <w:p w14:paraId="77205BC2" w14:textId="77777777" w:rsidR="00C02B40" w:rsidRDefault="00C02B40" w:rsidP="006D7958">
            <w:pPr>
              <w:jc w:val="both"/>
              <w:rPr>
                <w:color w:val="000000" w:themeColor="text1"/>
              </w:rPr>
            </w:pPr>
          </w:p>
          <w:p w14:paraId="4B42FACC" w14:textId="5D826A62" w:rsidR="00490D7A" w:rsidRDefault="00C02B40" w:rsidP="00490D7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candidate will </w:t>
            </w:r>
            <w:r w:rsidR="00761A31">
              <w:rPr>
                <w:color w:val="000000" w:themeColor="text1"/>
              </w:rPr>
              <w:t xml:space="preserve">review the </w:t>
            </w:r>
            <w:r w:rsidR="00D965E9">
              <w:rPr>
                <w:color w:val="000000" w:themeColor="text1"/>
              </w:rPr>
              <w:t>radiotherapy</w:t>
            </w:r>
            <w:r w:rsidR="0090236C">
              <w:rPr>
                <w:color w:val="000000" w:themeColor="text1"/>
              </w:rPr>
              <w:t xml:space="preserve"> plans (3D dose data)</w:t>
            </w:r>
            <w:r w:rsidR="003131B7">
              <w:rPr>
                <w:color w:val="000000" w:themeColor="text1"/>
              </w:rPr>
              <w:t xml:space="preserve"> and all CT images </w:t>
            </w:r>
            <w:r w:rsidR="0071394D">
              <w:rPr>
                <w:color w:val="000000" w:themeColor="text1"/>
              </w:rPr>
              <w:t>available</w:t>
            </w:r>
            <w:r w:rsidR="0065093A">
              <w:rPr>
                <w:color w:val="000000" w:themeColor="text1"/>
              </w:rPr>
              <w:t xml:space="preserve"> per patient case</w:t>
            </w:r>
            <w:r w:rsidR="0071394D">
              <w:rPr>
                <w:color w:val="000000" w:themeColor="text1"/>
              </w:rPr>
              <w:t xml:space="preserve"> </w:t>
            </w:r>
            <w:r w:rsidR="003131B7">
              <w:rPr>
                <w:color w:val="000000" w:themeColor="text1"/>
              </w:rPr>
              <w:t>to assess for volumetric growth changes</w:t>
            </w:r>
            <w:r w:rsidR="00432BC9">
              <w:rPr>
                <w:color w:val="000000" w:themeColor="text1"/>
              </w:rPr>
              <w:t xml:space="preserve"> across the different follow-up timepoints. </w:t>
            </w:r>
            <w:r w:rsidR="00AC5BBB">
              <w:rPr>
                <w:color w:val="000000" w:themeColor="text1"/>
              </w:rPr>
              <w:t>To analyse this, the candidate w</w:t>
            </w:r>
            <w:r w:rsidR="00A14E20">
              <w:rPr>
                <w:color w:val="000000" w:themeColor="text1"/>
              </w:rPr>
              <w:t xml:space="preserve">ill </w:t>
            </w:r>
            <w:r w:rsidR="00432BC9">
              <w:rPr>
                <w:color w:val="000000" w:themeColor="text1"/>
              </w:rPr>
              <w:t>contour</w:t>
            </w:r>
            <w:r w:rsidR="00A14E20">
              <w:rPr>
                <w:color w:val="000000" w:themeColor="text1"/>
              </w:rPr>
              <w:t xml:space="preserve"> </w:t>
            </w:r>
            <w:r w:rsidR="00432BC9">
              <w:rPr>
                <w:color w:val="000000" w:themeColor="text1"/>
              </w:rPr>
              <w:t>the facial structures</w:t>
            </w:r>
            <w:r w:rsidR="00F24DC5">
              <w:rPr>
                <w:color w:val="000000" w:themeColor="text1"/>
              </w:rPr>
              <w:t xml:space="preserve"> on the planning CT and follow-up bone density CT scans (on the </w:t>
            </w:r>
            <w:proofErr w:type="spellStart"/>
            <w:r w:rsidR="00F24DC5">
              <w:rPr>
                <w:color w:val="000000" w:themeColor="text1"/>
              </w:rPr>
              <w:t>Raystation</w:t>
            </w:r>
            <w:proofErr w:type="spellEnd"/>
            <w:r w:rsidR="00F24DC5">
              <w:rPr>
                <w:color w:val="000000" w:themeColor="text1"/>
              </w:rPr>
              <w:t xml:space="preserve"> system accessible in the radiotherapy department)</w:t>
            </w:r>
            <w:r w:rsidR="00432BC9">
              <w:rPr>
                <w:color w:val="000000" w:themeColor="text1"/>
              </w:rPr>
              <w:t xml:space="preserve"> </w:t>
            </w:r>
            <w:r w:rsidR="001D309B">
              <w:rPr>
                <w:color w:val="000000" w:themeColor="text1"/>
              </w:rPr>
              <w:t>using the</w:t>
            </w:r>
            <w:r w:rsidR="005F1AB7">
              <w:rPr>
                <w:color w:val="000000" w:themeColor="text1"/>
              </w:rPr>
              <w:t xml:space="preserve"> recently </w:t>
            </w:r>
            <w:r w:rsidR="00914499">
              <w:rPr>
                <w:color w:val="000000" w:themeColor="text1"/>
              </w:rPr>
              <w:t>established</w:t>
            </w:r>
            <w:r w:rsidR="005F1AB7">
              <w:rPr>
                <w:color w:val="000000" w:themeColor="text1"/>
              </w:rPr>
              <w:t xml:space="preserve"> </w:t>
            </w:r>
            <w:r w:rsidR="005F1AB7" w:rsidRPr="00AC5BBB">
              <w:rPr>
                <w:i/>
                <w:iCs/>
                <w:color w:val="000000" w:themeColor="text1"/>
              </w:rPr>
              <w:t>Paediatric Facial Structures</w:t>
            </w:r>
            <w:r w:rsidR="00AC5BBB" w:rsidRPr="00AC5BBB">
              <w:rPr>
                <w:i/>
                <w:iCs/>
                <w:color w:val="000000" w:themeColor="text1"/>
              </w:rPr>
              <w:t xml:space="preserve"> </w:t>
            </w:r>
            <w:r w:rsidR="006602A8">
              <w:rPr>
                <w:i/>
                <w:iCs/>
                <w:color w:val="000000" w:themeColor="text1"/>
              </w:rPr>
              <w:t xml:space="preserve">Consensus-based </w:t>
            </w:r>
            <w:r w:rsidR="0071394D">
              <w:rPr>
                <w:i/>
                <w:iCs/>
                <w:color w:val="000000" w:themeColor="text1"/>
              </w:rPr>
              <w:t>Contouring</w:t>
            </w:r>
            <w:r w:rsidR="00AC5BBB" w:rsidRPr="00AC5BBB">
              <w:rPr>
                <w:i/>
                <w:iCs/>
                <w:color w:val="000000" w:themeColor="text1"/>
              </w:rPr>
              <w:t xml:space="preserve"> Atlas</w:t>
            </w:r>
            <w:r w:rsidR="00AC5BBB">
              <w:rPr>
                <w:color w:val="000000" w:themeColor="text1"/>
              </w:rPr>
              <w:t xml:space="preserve"> </w:t>
            </w:r>
            <w:r w:rsidR="000D2541">
              <w:rPr>
                <w:color w:val="000000" w:themeColor="text1"/>
              </w:rPr>
              <w:t xml:space="preserve">and </w:t>
            </w:r>
            <w:r w:rsidR="003353F8">
              <w:rPr>
                <w:color w:val="000000" w:themeColor="text1"/>
              </w:rPr>
              <w:t>supporting</w:t>
            </w:r>
            <w:r w:rsidR="00143685">
              <w:rPr>
                <w:color w:val="000000" w:themeColor="text1"/>
              </w:rPr>
              <w:t xml:space="preserve"> </w:t>
            </w:r>
            <w:r w:rsidR="000D2541">
              <w:rPr>
                <w:color w:val="000000" w:themeColor="text1"/>
              </w:rPr>
              <w:t xml:space="preserve">auto-contouring </w:t>
            </w:r>
            <w:r w:rsidR="00D87F4B">
              <w:rPr>
                <w:color w:val="000000" w:themeColor="text1"/>
              </w:rPr>
              <w:t>solution</w:t>
            </w:r>
            <w:r w:rsidR="00914499">
              <w:rPr>
                <w:color w:val="000000" w:themeColor="text1"/>
              </w:rPr>
              <w:t xml:space="preserve"> under development</w:t>
            </w:r>
            <w:r w:rsidR="0093048F">
              <w:rPr>
                <w:color w:val="000000" w:themeColor="text1"/>
              </w:rPr>
              <w:t xml:space="preserve">. </w:t>
            </w:r>
            <w:r w:rsidR="00097352">
              <w:rPr>
                <w:color w:val="000000" w:themeColor="text1"/>
              </w:rPr>
              <w:t>T</w:t>
            </w:r>
            <w:r w:rsidR="00490D7A">
              <w:rPr>
                <w:color w:val="000000" w:themeColor="text1"/>
              </w:rPr>
              <w:t xml:space="preserve">he </w:t>
            </w:r>
            <w:proofErr w:type="spellStart"/>
            <w:r w:rsidR="00490D7A">
              <w:rPr>
                <w:color w:val="000000" w:themeColor="text1"/>
              </w:rPr>
              <w:t>dosimetric</w:t>
            </w:r>
            <w:proofErr w:type="spellEnd"/>
            <w:r w:rsidR="005601E2">
              <w:rPr>
                <w:color w:val="000000" w:themeColor="text1"/>
              </w:rPr>
              <w:t xml:space="preserve"> data</w:t>
            </w:r>
            <w:r w:rsidR="00490D7A">
              <w:rPr>
                <w:color w:val="000000" w:themeColor="text1"/>
              </w:rPr>
              <w:t xml:space="preserve"> from the original radiotherapy plan</w:t>
            </w:r>
            <w:r w:rsidR="00097352">
              <w:rPr>
                <w:color w:val="000000" w:themeColor="text1"/>
              </w:rPr>
              <w:t xml:space="preserve"> will be evaluated</w:t>
            </w:r>
            <w:r w:rsidR="00490D7A">
              <w:rPr>
                <w:color w:val="000000" w:themeColor="text1"/>
              </w:rPr>
              <w:t xml:space="preserve"> and correlate</w:t>
            </w:r>
            <w:r w:rsidR="00097352">
              <w:rPr>
                <w:color w:val="000000" w:themeColor="text1"/>
              </w:rPr>
              <w:t>d</w:t>
            </w:r>
            <w:r w:rsidR="00490D7A">
              <w:rPr>
                <w:color w:val="000000" w:themeColor="text1"/>
              </w:rPr>
              <w:t xml:space="preserve"> with changes over time as measured from the contours on the bone density CT </w:t>
            </w:r>
            <w:r w:rsidR="00914499">
              <w:rPr>
                <w:color w:val="000000" w:themeColor="text1"/>
              </w:rPr>
              <w:t xml:space="preserve">images </w:t>
            </w:r>
            <w:r w:rsidR="00490D7A">
              <w:rPr>
                <w:color w:val="000000" w:themeColor="text1"/>
              </w:rPr>
              <w:t>i.e.,</w:t>
            </w:r>
            <w:r w:rsidR="00422CCC">
              <w:rPr>
                <w:color w:val="000000" w:themeColor="text1"/>
              </w:rPr>
              <w:t xml:space="preserve"> </w:t>
            </w:r>
            <w:r w:rsidR="00490D7A">
              <w:rPr>
                <w:color w:val="000000" w:themeColor="text1"/>
              </w:rPr>
              <w:t>loss of volume</w:t>
            </w:r>
            <w:r w:rsidR="00360150">
              <w:rPr>
                <w:color w:val="000000" w:themeColor="text1"/>
              </w:rPr>
              <w:t xml:space="preserve"> to quantify the disruption of growth.</w:t>
            </w:r>
            <w:r w:rsidR="00490D7A">
              <w:rPr>
                <w:color w:val="000000" w:themeColor="text1"/>
              </w:rPr>
              <w:t xml:space="preserve"> </w:t>
            </w:r>
          </w:p>
          <w:p w14:paraId="7E384EA3" w14:textId="639C3435" w:rsidR="00FA6030" w:rsidRDefault="00FA6030" w:rsidP="00AC5BBB">
            <w:pPr>
              <w:jc w:val="both"/>
              <w:rPr>
                <w:color w:val="000000" w:themeColor="text1"/>
              </w:rPr>
            </w:pPr>
          </w:p>
          <w:p w14:paraId="196DE457" w14:textId="10B9EE99" w:rsidR="005601E2" w:rsidRDefault="00D75B4A" w:rsidP="006D795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N.b.</w:t>
            </w:r>
            <w:r w:rsidR="001E7BF4">
              <w:rPr>
                <w:color w:val="000000" w:themeColor="text1"/>
              </w:rPr>
              <w:t xml:space="preserve"> If required, </w:t>
            </w:r>
            <w:r>
              <w:rPr>
                <w:color w:val="000000" w:themeColor="text1"/>
              </w:rPr>
              <w:t>to make this project feasible within the allotted time,</w:t>
            </w:r>
            <w:r w:rsidR="001E7BF4">
              <w:rPr>
                <w:color w:val="000000" w:themeColor="text1"/>
              </w:rPr>
              <w:t xml:space="preserve"> paediatric cases aged under 12 years at the time of radiotherapy would be prioritised.</w:t>
            </w:r>
          </w:p>
          <w:p w14:paraId="0CE23921" w14:textId="27EED5FA" w:rsidR="00491719" w:rsidRDefault="00491719" w:rsidP="00BC1526">
            <w:pPr>
              <w:jc w:val="both"/>
            </w:pPr>
          </w:p>
        </w:tc>
      </w:tr>
      <w:tr w:rsidR="006A4793" w14:paraId="17B4180B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37717C23" w14:textId="77777777" w:rsidR="006A4793" w:rsidRDefault="006A4793" w:rsidP="005D076E">
            <w:pPr>
              <w:contextualSpacing/>
              <w:jc w:val="both"/>
            </w:pPr>
            <w:r>
              <w:lastRenderedPageBreak/>
              <w:t>Potential Outcomes / Impact:</w:t>
            </w:r>
          </w:p>
        </w:tc>
      </w:tr>
      <w:tr w:rsidR="006A4793" w14:paraId="63299B13" w14:textId="77777777" w:rsidTr="005D076E">
        <w:tc>
          <w:tcPr>
            <w:tcW w:w="9016" w:type="dxa"/>
          </w:tcPr>
          <w:p w14:paraId="6A8B4E69" w14:textId="626EB207" w:rsidR="00595801" w:rsidRDefault="00A82E6E" w:rsidP="008A5595">
            <w:r>
              <w:t>Th</w:t>
            </w:r>
            <w:r w:rsidR="003867C3">
              <w:t xml:space="preserve">e outcomes of this project will </w:t>
            </w:r>
            <w:r w:rsidR="00C63652">
              <w:t>support</w:t>
            </w:r>
            <w:r w:rsidR="003867C3">
              <w:t xml:space="preserve"> our understanding of paediatric cranio-facial growth after head and neck radiotherapy</w:t>
            </w:r>
            <w:r w:rsidR="00413010">
              <w:t xml:space="preserve">. </w:t>
            </w:r>
            <w:r w:rsidR="003867C3">
              <w:t xml:space="preserve">The project </w:t>
            </w:r>
            <w:r w:rsidR="00D5693E">
              <w:t>has the potential to</w:t>
            </w:r>
            <w:r w:rsidR="00054918">
              <w:t xml:space="preserve"> contribute to</w:t>
            </w:r>
            <w:r w:rsidR="008A5595">
              <w:t xml:space="preserve"> </w:t>
            </w:r>
            <w:r w:rsidR="008A3362">
              <w:t>refin</w:t>
            </w:r>
            <w:r w:rsidR="00054918">
              <w:t>ing</w:t>
            </w:r>
            <w:r w:rsidR="000F4751">
              <w:t xml:space="preserve"> radiotherapy </w:t>
            </w:r>
            <w:r w:rsidR="0000704B">
              <w:t>planning</w:t>
            </w:r>
            <w:r w:rsidR="00EF1F6D">
              <w:t xml:space="preserve"> approaches</w:t>
            </w:r>
            <w:r w:rsidR="007A69AA">
              <w:t xml:space="preserve"> </w:t>
            </w:r>
            <w:r w:rsidR="00117BE4">
              <w:t xml:space="preserve">for future children </w:t>
            </w:r>
            <w:r w:rsidR="007565A9" w:rsidRPr="001B4BE5">
              <w:t xml:space="preserve">by identifying </w:t>
            </w:r>
            <w:r w:rsidR="00595801" w:rsidRPr="00BF6935">
              <w:rPr>
                <w:rFonts w:cstheme="minorHAnsi"/>
                <w:i/>
                <w:iCs/>
              </w:rPr>
              <w:t>how much dose</w:t>
            </w:r>
            <w:r w:rsidR="00595801" w:rsidRPr="001B4BE5">
              <w:rPr>
                <w:rFonts w:cstheme="minorHAnsi"/>
              </w:rPr>
              <w:t xml:space="preserve"> to </w:t>
            </w:r>
            <w:r w:rsidR="00595801" w:rsidRPr="00BF6935">
              <w:rPr>
                <w:rFonts w:cstheme="minorHAnsi"/>
                <w:i/>
                <w:iCs/>
              </w:rPr>
              <w:t xml:space="preserve">what location </w:t>
            </w:r>
            <w:r w:rsidR="00C246E2">
              <w:rPr>
                <w:rFonts w:cstheme="minorHAnsi"/>
              </w:rPr>
              <w:t xml:space="preserve">that </w:t>
            </w:r>
            <w:r w:rsidR="00595801" w:rsidRPr="001B4BE5">
              <w:rPr>
                <w:rFonts w:cstheme="minorHAnsi"/>
              </w:rPr>
              <w:t>has caused a change in expected development</w:t>
            </w:r>
            <w:r w:rsidR="00EF1F6D" w:rsidRPr="001B4BE5">
              <w:rPr>
                <w:rFonts w:cstheme="minorHAnsi"/>
              </w:rPr>
              <w:t>.</w:t>
            </w:r>
            <w:r w:rsidR="00EF1F6D">
              <w:rPr>
                <w:rFonts w:cstheme="minorHAnsi"/>
              </w:rPr>
              <w:t xml:space="preserve"> </w:t>
            </w:r>
          </w:p>
          <w:p w14:paraId="3752096F" w14:textId="77777777" w:rsidR="006536D4" w:rsidRDefault="006536D4" w:rsidP="007418D2">
            <w:pPr>
              <w:contextualSpacing/>
              <w:jc w:val="both"/>
            </w:pPr>
          </w:p>
          <w:p w14:paraId="550E1E40" w14:textId="79970847" w:rsidR="006E27EA" w:rsidRDefault="006536D4" w:rsidP="007418D2">
            <w:pPr>
              <w:contextualSpacing/>
              <w:jc w:val="both"/>
            </w:pPr>
            <w:r>
              <w:t>We anticipate this work</w:t>
            </w:r>
            <w:r w:rsidR="000A7C06">
              <w:t xml:space="preserve"> </w:t>
            </w:r>
            <w:r w:rsidR="00740269">
              <w:t>will</w:t>
            </w:r>
            <w:r w:rsidR="000A7C06">
              <w:t xml:space="preserve"> be included in at least one </w:t>
            </w:r>
            <w:r>
              <w:t xml:space="preserve">peer-reviewed </w:t>
            </w:r>
            <w:r w:rsidR="000A7C06">
              <w:t>publication</w:t>
            </w:r>
            <w:r w:rsidR="001F1F8A">
              <w:t xml:space="preserve"> with co-authorship for the candidate. </w:t>
            </w:r>
            <w:r w:rsidR="006E27EA">
              <w:t>There is potential for the candidate to apply for further research interest and development should they wish to.</w:t>
            </w:r>
          </w:p>
          <w:p w14:paraId="68BE2F4D" w14:textId="33630562" w:rsidR="00491719" w:rsidRDefault="007418D2" w:rsidP="007418D2">
            <w:pPr>
              <w:contextualSpacing/>
              <w:jc w:val="both"/>
            </w:pPr>
            <w:r>
              <w:t xml:space="preserve"> </w:t>
            </w:r>
          </w:p>
        </w:tc>
      </w:tr>
      <w:tr w:rsidR="006A4793" w14:paraId="03D7218C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0F928A7A" w14:textId="200B84AF" w:rsidR="006A4793" w:rsidRDefault="006A4793" w:rsidP="005D076E">
            <w:pPr>
              <w:contextualSpacing/>
              <w:jc w:val="both"/>
            </w:pPr>
            <w:r>
              <w:t>Who would be suitable for th</w:t>
            </w:r>
            <w:r w:rsidR="00E872CB">
              <w:t>e</w:t>
            </w:r>
            <w:r>
              <w:t xml:space="preserve"> placement?</w:t>
            </w:r>
          </w:p>
        </w:tc>
      </w:tr>
      <w:tr w:rsidR="006A4793" w14:paraId="044EB5F4" w14:textId="77777777" w:rsidTr="005D076E">
        <w:tc>
          <w:tcPr>
            <w:tcW w:w="9016" w:type="dxa"/>
          </w:tcPr>
          <w:p w14:paraId="5EC34A9C" w14:textId="37006270" w:rsidR="007336B6" w:rsidRPr="00006F17" w:rsidRDefault="00550D63" w:rsidP="007336B6">
            <w:pPr>
              <w:jc w:val="both"/>
              <w:rPr>
                <w:color w:val="000000" w:themeColor="text1"/>
              </w:rPr>
            </w:pPr>
            <w:r w:rsidRPr="00006F17">
              <w:rPr>
                <w:color w:val="000000" w:themeColor="text1"/>
              </w:rPr>
              <w:t xml:space="preserve">A </w:t>
            </w:r>
            <w:r w:rsidR="00D07A6D">
              <w:rPr>
                <w:color w:val="000000" w:themeColor="text1"/>
              </w:rPr>
              <w:t>T</w:t>
            </w:r>
            <w:r w:rsidRPr="00006F17">
              <w:rPr>
                <w:color w:val="000000" w:themeColor="text1"/>
              </w:rPr>
              <w:t xml:space="preserve">herapeutic </w:t>
            </w:r>
            <w:r w:rsidR="00D07A6D">
              <w:rPr>
                <w:color w:val="000000" w:themeColor="text1"/>
              </w:rPr>
              <w:t>R</w:t>
            </w:r>
            <w:r w:rsidRPr="00006F17">
              <w:rPr>
                <w:color w:val="000000" w:themeColor="text1"/>
              </w:rPr>
              <w:t>adiographer would have the ideal skills</w:t>
            </w:r>
            <w:r w:rsidR="00054918">
              <w:rPr>
                <w:color w:val="000000" w:themeColor="text1"/>
              </w:rPr>
              <w:t>et</w:t>
            </w:r>
            <w:r w:rsidRPr="00006F17">
              <w:rPr>
                <w:color w:val="000000" w:themeColor="text1"/>
              </w:rPr>
              <w:t xml:space="preserve"> for this placement. However, other professionals may </w:t>
            </w:r>
            <w:r w:rsidR="00D07A6D">
              <w:rPr>
                <w:color w:val="000000" w:themeColor="text1"/>
              </w:rPr>
              <w:t>be appropriate to undertake this work</w:t>
            </w:r>
            <w:r w:rsidRPr="00006F17">
              <w:rPr>
                <w:color w:val="000000" w:themeColor="text1"/>
              </w:rPr>
              <w:t xml:space="preserve"> with short training, </w:t>
            </w:r>
            <w:r w:rsidR="00D729AC">
              <w:rPr>
                <w:color w:val="000000" w:themeColor="text1"/>
              </w:rPr>
              <w:t>such as</w:t>
            </w:r>
            <w:r w:rsidR="007B1133">
              <w:rPr>
                <w:color w:val="000000" w:themeColor="text1"/>
              </w:rPr>
              <w:t xml:space="preserve"> </w:t>
            </w:r>
            <w:r w:rsidR="00C246E2">
              <w:rPr>
                <w:color w:val="000000" w:themeColor="text1"/>
              </w:rPr>
              <w:t>D</w:t>
            </w:r>
            <w:r w:rsidR="007B1133">
              <w:rPr>
                <w:color w:val="000000" w:themeColor="text1"/>
              </w:rPr>
              <w:t>iagnostic</w:t>
            </w:r>
            <w:r w:rsidRPr="00006F17">
              <w:rPr>
                <w:color w:val="000000" w:themeColor="text1"/>
              </w:rPr>
              <w:t xml:space="preserve"> </w:t>
            </w:r>
            <w:r w:rsidR="00C246E2">
              <w:rPr>
                <w:color w:val="000000" w:themeColor="text1"/>
              </w:rPr>
              <w:t>R</w:t>
            </w:r>
            <w:r w:rsidRPr="00006F17">
              <w:rPr>
                <w:color w:val="000000" w:themeColor="text1"/>
              </w:rPr>
              <w:t xml:space="preserve">adiographers. </w:t>
            </w:r>
          </w:p>
          <w:p w14:paraId="5ADDA6A4" w14:textId="5A47A611" w:rsidR="00491719" w:rsidRPr="00006F17" w:rsidRDefault="00491719" w:rsidP="007336B6">
            <w:pPr>
              <w:contextualSpacing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E872CB" w14:paraId="29C7C26C" w14:textId="77777777" w:rsidTr="00E872CB">
        <w:tc>
          <w:tcPr>
            <w:tcW w:w="9016" w:type="dxa"/>
            <w:shd w:val="clear" w:color="auto" w:fill="E7E6E6" w:themeFill="background2"/>
          </w:tcPr>
          <w:p w14:paraId="7153754B" w14:textId="6F4EE7A4" w:rsidR="00E872CB" w:rsidRPr="00E872CB" w:rsidRDefault="00E872CB" w:rsidP="005D076E">
            <w:pPr>
              <w:contextualSpacing/>
              <w:jc w:val="both"/>
              <w:rPr>
                <w:color w:val="808080" w:themeColor="background1" w:themeShade="80"/>
              </w:rPr>
            </w:pPr>
            <w:r w:rsidRPr="00E872CB">
              <w:t>Are there any pre-requisites that are required in advance of the placement?</w:t>
            </w:r>
          </w:p>
        </w:tc>
      </w:tr>
      <w:tr w:rsidR="00E872CB" w14:paraId="3F7366BE" w14:textId="77777777" w:rsidTr="005D076E">
        <w:tc>
          <w:tcPr>
            <w:tcW w:w="9016" w:type="dxa"/>
          </w:tcPr>
          <w:p w14:paraId="50823521" w14:textId="6399CF09" w:rsidR="00D729AC" w:rsidRDefault="00D729AC" w:rsidP="005D076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Basic knowledge of </w:t>
            </w:r>
            <w:r w:rsidR="00E27F2C">
              <w:rPr>
                <w:color w:val="000000" w:themeColor="text1"/>
              </w:rPr>
              <w:t xml:space="preserve">head and neck </w:t>
            </w:r>
            <w:r>
              <w:rPr>
                <w:color w:val="000000" w:themeColor="text1"/>
              </w:rPr>
              <w:t>anatomy</w:t>
            </w:r>
            <w:r w:rsidR="00EB32EC">
              <w:rPr>
                <w:color w:val="000000" w:themeColor="text1"/>
              </w:rPr>
              <w:t>.</w:t>
            </w:r>
          </w:p>
          <w:p w14:paraId="60AF783E" w14:textId="7F171798" w:rsidR="00F2784E" w:rsidRDefault="001A6414" w:rsidP="005D076E">
            <w:pPr>
              <w:contextualSpacing/>
              <w:jc w:val="both"/>
              <w:rPr>
                <w:color w:val="000000" w:themeColor="text1"/>
              </w:rPr>
            </w:pPr>
            <w:r w:rsidRPr="00006F17">
              <w:rPr>
                <w:color w:val="000000" w:themeColor="text1"/>
              </w:rPr>
              <w:t>Familiarity with</w:t>
            </w:r>
            <w:r w:rsidR="00E27F2C">
              <w:rPr>
                <w:color w:val="000000" w:themeColor="text1"/>
              </w:rPr>
              <w:t xml:space="preserve"> CT-based medical</w:t>
            </w:r>
            <w:r w:rsidRPr="00006F17">
              <w:rPr>
                <w:color w:val="000000" w:themeColor="text1"/>
              </w:rPr>
              <w:t xml:space="preserve"> images and their handling (e.g.</w:t>
            </w:r>
            <w:r w:rsidR="00D70B92">
              <w:rPr>
                <w:color w:val="000000" w:themeColor="text1"/>
              </w:rPr>
              <w:t>,</w:t>
            </w:r>
            <w:r w:rsidRPr="00006F17">
              <w:rPr>
                <w:color w:val="000000" w:themeColor="text1"/>
              </w:rPr>
              <w:t xml:space="preserve"> exporting and importing)</w:t>
            </w:r>
            <w:r w:rsidR="00F2784E">
              <w:rPr>
                <w:color w:val="000000" w:themeColor="text1"/>
              </w:rPr>
              <w:t>.</w:t>
            </w:r>
          </w:p>
          <w:p w14:paraId="6D7FD9DA" w14:textId="5B1A238A" w:rsidR="00BA5658" w:rsidRDefault="00F2784E" w:rsidP="005D076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Familiarity of</w:t>
            </w:r>
            <w:r w:rsidR="005E0012">
              <w:rPr>
                <w:color w:val="000000" w:themeColor="text1"/>
              </w:rPr>
              <w:t xml:space="preserve"> the</w:t>
            </w:r>
            <w:r>
              <w:rPr>
                <w:color w:val="000000" w:themeColor="text1"/>
              </w:rPr>
              <w:t xml:space="preserve"> contouring</w:t>
            </w:r>
            <w:r w:rsidR="003A0E18">
              <w:rPr>
                <w:color w:val="000000" w:themeColor="text1"/>
              </w:rPr>
              <w:t xml:space="preserve"> of structures.</w:t>
            </w:r>
          </w:p>
          <w:p w14:paraId="46A4E85F" w14:textId="051219AB" w:rsidR="00491719" w:rsidRPr="00CB1EFB" w:rsidRDefault="00491719" w:rsidP="003A0E18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E872CB" w14:paraId="2E24D9CA" w14:textId="77777777" w:rsidTr="00E872CB">
        <w:tc>
          <w:tcPr>
            <w:tcW w:w="9016" w:type="dxa"/>
            <w:shd w:val="clear" w:color="auto" w:fill="E7E6E6" w:themeFill="background2"/>
          </w:tcPr>
          <w:p w14:paraId="6757CB73" w14:textId="64C8826D" w:rsidR="00E872CB" w:rsidRPr="00E872CB" w:rsidRDefault="00E872CB" w:rsidP="005D076E">
            <w:pPr>
              <w:contextualSpacing/>
              <w:jc w:val="both"/>
            </w:pPr>
            <w:r w:rsidRPr="00E872CB">
              <w:t>What skills will be developed by the trainee during the placement?</w:t>
            </w:r>
          </w:p>
        </w:tc>
      </w:tr>
      <w:tr w:rsidR="00E872CB" w14:paraId="0CCC70AE" w14:textId="77777777" w:rsidTr="005D076E">
        <w:tc>
          <w:tcPr>
            <w:tcW w:w="9016" w:type="dxa"/>
          </w:tcPr>
          <w:p w14:paraId="2889EDA6" w14:textId="0B3A3B96" w:rsidR="007F52D9" w:rsidRDefault="003A0E18" w:rsidP="007F52D9">
            <w:pPr>
              <w:contextualSpacing/>
              <w:jc w:val="both"/>
            </w:pPr>
            <w:r>
              <w:rPr>
                <w:color w:val="000000" w:themeColor="text1"/>
              </w:rPr>
              <w:t>The candidate will</w:t>
            </w:r>
            <w:r w:rsidR="007F52D9">
              <w:rPr>
                <w:color w:val="000000" w:themeColor="text1"/>
              </w:rPr>
              <w:t xml:space="preserve"> </w:t>
            </w:r>
            <w:r w:rsidR="00D054E8">
              <w:rPr>
                <w:color w:val="000000" w:themeColor="text1"/>
              </w:rPr>
              <w:t xml:space="preserve">have the opportunity to </w:t>
            </w:r>
            <w:r w:rsidR="00D054E8">
              <w:t xml:space="preserve">input and drive research in this area. They will </w:t>
            </w:r>
            <w:r w:rsidR="007F52D9">
              <w:rPr>
                <w:color w:val="000000" w:themeColor="text1"/>
              </w:rPr>
              <w:t xml:space="preserve">develop skills </w:t>
            </w:r>
            <w:r w:rsidR="00002A69">
              <w:rPr>
                <w:color w:val="000000" w:themeColor="text1"/>
              </w:rPr>
              <w:t>such as</w:t>
            </w:r>
            <w:r w:rsidR="007F52D9">
              <w:rPr>
                <w:color w:val="000000" w:themeColor="text1"/>
              </w:rPr>
              <w:t xml:space="preserve"> re</w:t>
            </w:r>
            <w:r w:rsidR="007F52D9">
              <w:t xml:space="preserve">fining assessment of CT images </w:t>
            </w:r>
            <w:r w:rsidR="00002A69">
              <w:t>in</w:t>
            </w:r>
            <w:r w:rsidR="007F52D9">
              <w:t xml:space="preserve"> the paed</w:t>
            </w:r>
            <w:r w:rsidR="00002A69">
              <w:t>iatric head and neck,</w:t>
            </w:r>
            <w:r w:rsidR="00050384">
              <w:t xml:space="preserve"> including learning detailed</w:t>
            </w:r>
            <w:r w:rsidR="00002A69">
              <w:t xml:space="preserve"> </w:t>
            </w:r>
            <w:r w:rsidR="00443FF5">
              <w:t>a</w:t>
            </w:r>
            <w:r w:rsidR="007F52D9">
              <w:t>natomy of facial structures</w:t>
            </w:r>
            <w:r w:rsidR="00050384">
              <w:t xml:space="preserve"> a</w:t>
            </w:r>
            <w:r w:rsidR="00443FF5">
              <w:t>nd</w:t>
            </w:r>
            <w:r w:rsidR="00050384">
              <w:t xml:space="preserve"> the</w:t>
            </w:r>
            <w:r w:rsidR="00443FF5">
              <w:t xml:space="preserve"> c</w:t>
            </w:r>
            <w:r w:rsidR="007F52D9">
              <w:t xml:space="preserve">ontouring of </w:t>
            </w:r>
            <w:r w:rsidR="00050384">
              <w:t xml:space="preserve">these </w:t>
            </w:r>
            <w:r w:rsidR="007F52D9">
              <w:t>structures</w:t>
            </w:r>
            <w:r w:rsidR="00050384">
              <w:t xml:space="preserve"> using</w:t>
            </w:r>
            <w:r w:rsidR="007F52D9">
              <w:t xml:space="preserve"> treatment planning systems</w:t>
            </w:r>
            <w:r w:rsidR="00B71243">
              <w:t xml:space="preserve"> (with support and training provided by the team)</w:t>
            </w:r>
            <w:r w:rsidR="007F52D9">
              <w:t>.</w:t>
            </w:r>
            <w:r w:rsidR="00443FF5">
              <w:t xml:space="preserve"> They will learn to</w:t>
            </w:r>
            <w:r w:rsidR="007F52D9">
              <w:t xml:space="preserve"> assess results of image registration</w:t>
            </w:r>
            <w:r w:rsidR="00D054E8">
              <w:t xml:space="preserve">, </w:t>
            </w:r>
            <w:r w:rsidR="002F7619">
              <w:t>q</w:t>
            </w:r>
            <w:r w:rsidR="007F52D9">
              <w:t>uantitative analysis</w:t>
            </w:r>
            <w:r w:rsidR="00B71243">
              <w:t xml:space="preserve"> </w:t>
            </w:r>
            <w:r w:rsidR="005E242C">
              <w:t>by</w:t>
            </w:r>
            <w:r w:rsidR="00B71243">
              <w:t xml:space="preserve"> calcula</w:t>
            </w:r>
            <w:r w:rsidR="005E242C">
              <w:t>ting</w:t>
            </w:r>
            <w:r w:rsidR="00B71243">
              <w:t xml:space="preserve"> s</w:t>
            </w:r>
            <w:r w:rsidR="007F52D9">
              <w:t>imple summary stat</w:t>
            </w:r>
            <w:r w:rsidR="00B71243">
              <w:t>istics.</w:t>
            </w:r>
          </w:p>
          <w:p w14:paraId="13C0B6CD" w14:textId="3CDC0CF9" w:rsidR="003A0E18" w:rsidRDefault="003A0E18" w:rsidP="007336B6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2329D2FA" w14:textId="58561E8D" w:rsidR="00CC22BC" w:rsidRDefault="008940EF" w:rsidP="007336B6">
            <w:pPr>
              <w:contextualSpacing/>
              <w:jc w:val="both"/>
              <w:rPr>
                <w:color w:val="000000" w:themeColor="text1"/>
              </w:rPr>
            </w:pPr>
            <w:r w:rsidRPr="00417060">
              <w:rPr>
                <w:color w:val="000000" w:themeColor="text1"/>
              </w:rPr>
              <w:t xml:space="preserve">The candidate will be integrated within RRR, a highly multi-disciplinary and supportive research group. They will have the opportunity to work closely with PhD students in </w:t>
            </w:r>
            <w:r w:rsidR="007266BB" w:rsidRPr="00417060">
              <w:rPr>
                <w:color w:val="000000" w:themeColor="text1"/>
              </w:rPr>
              <w:t>radio</w:t>
            </w:r>
            <w:r w:rsidR="00D92C23" w:rsidRPr="00417060">
              <w:rPr>
                <w:color w:val="000000" w:themeColor="text1"/>
              </w:rPr>
              <w:t>therapy</w:t>
            </w:r>
            <w:r w:rsidR="00596661">
              <w:rPr>
                <w:color w:val="000000" w:themeColor="text1"/>
              </w:rPr>
              <w:t>,</w:t>
            </w:r>
            <w:r w:rsidR="00ED64E4">
              <w:rPr>
                <w:color w:val="000000" w:themeColor="text1"/>
              </w:rPr>
              <w:t xml:space="preserve"> </w:t>
            </w:r>
            <w:r w:rsidRPr="00417060">
              <w:rPr>
                <w:color w:val="000000" w:themeColor="text1"/>
              </w:rPr>
              <w:t>clinical oncology, medical physics</w:t>
            </w:r>
            <w:r w:rsidR="00D92C23" w:rsidRPr="00417060">
              <w:rPr>
                <w:color w:val="000000" w:themeColor="text1"/>
              </w:rPr>
              <w:t xml:space="preserve"> (e.g., Tom </w:t>
            </w:r>
            <w:r w:rsidR="006C5224" w:rsidRPr="00417060">
              <w:rPr>
                <w:color w:val="000000" w:themeColor="text1"/>
              </w:rPr>
              <w:t>Melichar, Sarcoma UK PhD student, who</w:t>
            </w:r>
            <w:r w:rsidR="006231FA">
              <w:rPr>
                <w:color w:val="000000" w:themeColor="text1"/>
              </w:rPr>
              <w:t xml:space="preserve"> is</w:t>
            </w:r>
            <w:r w:rsidR="006C5224" w:rsidRPr="00417060">
              <w:rPr>
                <w:color w:val="000000" w:themeColor="text1"/>
              </w:rPr>
              <w:t xml:space="preserve"> work</w:t>
            </w:r>
            <w:r w:rsidR="006231FA">
              <w:rPr>
                <w:color w:val="000000" w:themeColor="text1"/>
              </w:rPr>
              <w:t>ing</w:t>
            </w:r>
            <w:r w:rsidR="006C5224" w:rsidRPr="00417060">
              <w:rPr>
                <w:color w:val="000000" w:themeColor="text1"/>
              </w:rPr>
              <w:t xml:space="preserve"> on </w:t>
            </w:r>
            <w:r w:rsidR="006C5224" w:rsidRPr="00417060">
              <w:rPr>
                <w:color w:val="000000" w:themeColor="text1"/>
              </w:rPr>
              <w:lastRenderedPageBreak/>
              <w:t xml:space="preserve">developing an auto-contouring </w:t>
            </w:r>
            <w:r w:rsidR="00417060" w:rsidRPr="00417060">
              <w:rPr>
                <w:color w:val="000000" w:themeColor="text1"/>
              </w:rPr>
              <w:t>solution for dentofacial delineation</w:t>
            </w:r>
            <w:r w:rsidR="006C5224" w:rsidRPr="00417060">
              <w:rPr>
                <w:color w:val="000000" w:themeColor="text1"/>
              </w:rPr>
              <w:t>)</w:t>
            </w:r>
            <w:r w:rsidR="00396647">
              <w:rPr>
                <w:color w:val="000000" w:themeColor="text1"/>
              </w:rPr>
              <w:t xml:space="preserve"> and </w:t>
            </w:r>
            <w:r w:rsidRPr="00417060">
              <w:rPr>
                <w:color w:val="000000" w:themeColor="text1"/>
              </w:rPr>
              <w:t>computer science</w:t>
            </w:r>
            <w:r w:rsidR="00396647">
              <w:rPr>
                <w:color w:val="000000" w:themeColor="text1"/>
              </w:rPr>
              <w:t>, and post-doctoral researchers (e.g., Dr Angela Davey</w:t>
            </w:r>
            <w:r w:rsidR="00FB6233">
              <w:rPr>
                <w:color w:val="000000" w:themeColor="text1"/>
              </w:rPr>
              <w:t>, Research Fellow in paediatric late effects</w:t>
            </w:r>
            <w:r w:rsidR="00396647">
              <w:rPr>
                <w:color w:val="000000" w:themeColor="text1"/>
              </w:rPr>
              <w:t>)</w:t>
            </w:r>
            <w:r w:rsidR="00417060" w:rsidRPr="00417060">
              <w:rPr>
                <w:color w:val="000000" w:themeColor="text1"/>
              </w:rPr>
              <w:t>.</w:t>
            </w:r>
            <w:r w:rsidR="008A4CDB">
              <w:rPr>
                <w:color w:val="000000" w:themeColor="text1"/>
              </w:rPr>
              <w:t xml:space="preserve"> </w:t>
            </w:r>
            <w:r w:rsidR="00396647">
              <w:rPr>
                <w:color w:val="000000" w:themeColor="text1"/>
              </w:rPr>
              <w:t xml:space="preserve">The candidate will </w:t>
            </w:r>
            <w:r w:rsidR="0084423A">
              <w:rPr>
                <w:color w:val="000000" w:themeColor="text1"/>
              </w:rPr>
              <w:t>also be able to work with</w:t>
            </w:r>
            <w:r w:rsidR="008C0FCC">
              <w:rPr>
                <w:color w:val="000000" w:themeColor="text1"/>
              </w:rPr>
              <w:t xml:space="preserve"> t</w:t>
            </w:r>
            <w:r w:rsidR="0084423A">
              <w:rPr>
                <w:color w:val="000000" w:themeColor="text1"/>
              </w:rPr>
              <w:t xml:space="preserve">he </w:t>
            </w:r>
            <w:r w:rsidR="008A4CDB">
              <w:rPr>
                <w:color w:val="000000" w:themeColor="text1"/>
              </w:rPr>
              <w:t>SMILE</w:t>
            </w:r>
            <w:r w:rsidR="001E2160">
              <w:rPr>
                <w:color w:val="000000" w:themeColor="text1"/>
              </w:rPr>
              <w:t xml:space="preserve"> international </w:t>
            </w:r>
            <w:r w:rsidR="008C0FCC">
              <w:rPr>
                <w:color w:val="000000" w:themeColor="text1"/>
              </w:rPr>
              <w:t>collaborators</w:t>
            </w:r>
            <w:r w:rsidR="001E2160">
              <w:rPr>
                <w:color w:val="000000" w:themeColor="text1"/>
              </w:rPr>
              <w:t xml:space="preserve"> and </w:t>
            </w:r>
            <w:r w:rsidR="008C0FCC">
              <w:rPr>
                <w:color w:val="000000" w:themeColor="text1"/>
              </w:rPr>
              <w:t xml:space="preserve">participate in the </w:t>
            </w:r>
            <w:r w:rsidR="001E2160">
              <w:rPr>
                <w:color w:val="000000" w:themeColor="text1"/>
              </w:rPr>
              <w:t>con</w:t>
            </w:r>
            <w:r w:rsidR="00DA04C5">
              <w:rPr>
                <w:color w:val="000000" w:themeColor="text1"/>
              </w:rPr>
              <w:t xml:space="preserve">sortium working </w:t>
            </w:r>
            <w:r w:rsidR="008C0FCC">
              <w:rPr>
                <w:color w:val="000000" w:themeColor="text1"/>
              </w:rPr>
              <w:t xml:space="preserve">group monthly </w:t>
            </w:r>
            <w:r w:rsidR="00DA04C5">
              <w:rPr>
                <w:color w:val="000000" w:themeColor="text1"/>
              </w:rPr>
              <w:t>meetings</w:t>
            </w:r>
            <w:r w:rsidR="00CC22BC">
              <w:rPr>
                <w:color w:val="000000" w:themeColor="text1"/>
              </w:rPr>
              <w:t xml:space="preserve">. </w:t>
            </w:r>
          </w:p>
          <w:p w14:paraId="36C35B58" w14:textId="77777777" w:rsidR="005E242C" w:rsidRDefault="005E242C" w:rsidP="007336B6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  <w:p w14:paraId="36A2C74E" w14:textId="23F94819" w:rsidR="00FC3DC9" w:rsidRDefault="008940EF" w:rsidP="00FC3DC9">
            <w:pPr>
              <w:contextualSpacing/>
              <w:jc w:val="both"/>
            </w:pPr>
            <w:r w:rsidRPr="00931783">
              <w:rPr>
                <w:color w:val="000000" w:themeColor="text1"/>
              </w:rPr>
              <w:t xml:space="preserve">Our group also has a proven track record in supporting HCP to progress to research degrees, </w:t>
            </w:r>
            <w:r w:rsidR="00E372C0" w:rsidRPr="00931783">
              <w:rPr>
                <w:color w:val="000000" w:themeColor="text1"/>
              </w:rPr>
              <w:t>e.g.,</w:t>
            </w:r>
            <w:r w:rsidRPr="00931783">
              <w:rPr>
                <w:color w:val="000000" w:themeColor="text1"/>
              </w:rPr>
              <w:t xml:space="preserve"> through the development of NIHR </w:t>
            </w:r>
            <w:r w:rsidR="00E372C0">
              <w:rPr>
                <w:color w:val="000000" w:themeColor="text1"/>
              </w:rPr>
              <w:t>D</w:t>
            </w:r>
            <w:r w:rsidRPr="00931783">
              <w:rPr>
                <w:color w:val="000000" w:themeColor="text1"/>
              </w:rPr>
              <w:t xml:space="preserve">octoral </w:t>
            </w:r>
            <w:r w:rsidR="00E372C0">
              <w:rPr>
                <w:color w:val="000000" w:themeColor="text1"/>
              </w:rPr>
              <w:t>F</w:t>
            </w:r>
            <w:r w:rsidRPr="00931783">
              <w:rPr>
                <w:color w:val="000000" w:themeColor="text1"/>
              </w:rPr>
              <w:t>ellowships. Should the candidate desire to pursue this option, or other academic research endeavours, support will be provided beyond the duration of this placement.</w:t>
            </w:r>
            <w:r w:rsidR="00FC3DC9">
              <w:t xml:space="preserve"> We will encourage the candidate to attend NIHR BRC events relevant to support training and event opportunities.</w:t>
            </w:r>
          </w:p>
          <w:p w14:paraId="1835F49A" w14:textId="77777777" w:rsidR="007266BB" w:rsidRDefault="007266BB" w:rsidP="007336B6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  <w:p w14:paraId="7CC6AFF1" w14:textId="450E2895" w:rsidR="00EF166C" w:rsidRDefault="00A06254" w:rsidP="007336B6">
            <w:pPr>
              <w:contextualSpacing/>
              <w:jc w:val="both"/>
            </w:pPr>
            <w:r w:rsidRPr="00EA55ED">
              <w:t xml:space="preserve">The </w:t>
            </w:r>
            <w:r w:rsidR="00E372C0">
              <w:t>candidate</w:t>
            </w:r>
            <w:r w:rsidRPr="00EA55ED">
              <w:t xml:space="preserve"> will </w:t>
            </w:r>
            <w:r w:rsidR="00E372C0">
              <w:t xml:space="preserve">also </w:t>
            </w:r>
            <w:proofErr w:type="gramStart"/>
            <w:r w:rsidRPr="00EA55ED">
              <w:t>have the opportunity to</w:t>
            </w:r>
            <w:proofErr w:type="gramEnd"/>
            <w:r w:rsidRPr="00EA55ED">
              <w:t xml:space="preserve"> work closely with a</w:t>
            </w:r>
            <w:r w:rsidR="004D46CD" w:rsidRPr="00EA55ED">
              <w:t xml:space="preserve"> dedicated patient advisory group </w:t>
            </w:r>
            <w:r w:rsidRPr="00EA55ED">
              <w:t xml:space="preserve">(consisting of childhood head and neck cancer survivors </w:t>
            </w:r>
            <w:r w:rsidR="00EA55ED" w:rsidRPr="00EA55ED">
              <w:t>with</w:t>
            </w:r>
            <w:r w:rsidR="00713564">
              <w:t xml:space="preserve"> lived experience of</w:t>
            </w:r>
            <w:r w:rsidR="00EA55ED" w:rsidRPr="00EA55ED">
              <w:t xml:space="preserve"> </w:t>
            </w:r>
            <w:r w:rsidR="00713564">
              <w:t>dentofacial late effects</w:t>
            </w:r>
            <w:r w:rsidR="00EA55ED" w:rsidRPr="00EA55ED">
              <w:t>)</w:t>
            </w:r>
            <w:r w:rsidR="008936B9">
              <w:t>,</w:t>
            </w:r>
            <w:r w:rsidR="00EA55ED" w:rsidRPr="00EA55ED">
              <w:t xml:space="preserve"> </w:t>
            </w:r>
            <w:r w:rsidRPr="00EA55ED">
              <w:t>specifically formed to help with this research interest.</w:t>
            </w:r>
            <w:r w:rsidR="00EA55ED" w:rsidRPr="00EA55ED">
              <w:t xml:space="preserve"> </w:t>
            </w:r>
            <w:r w:rsidR="006E0F50">
              <w:t>The candidate will be asked to present their results to an audience including</w:t>
            </w:r>
            <w:r w:rsidR="00CC6EBA">
              <w:t xml:space="preserve"> the patient advisory group,</w:t>
            </w:r>
            <w:r w:rsidR="006E0F50">
              <w:t xml:space="preserve"> </w:t>
            </w:r>
            <w:r w:rsidR="00F0783D">
              <w:t>patient,</w:t>
            </w:r>
            <w:r w:rsidR="006E0F50">
              <w:t xml:space="preserve"> </w:t>
            </w:r>
            <w:r w:rsidR="00CC6EBA">
              <w:t xml:space="preserve">and parent </w:t>
            </w:r>
            <w:r w:rsidR="006E0F50">
              <w:t>advocates at the end of their placement</w:t>
            </w:r>
            <w:r w:rsidR="00EF166C" w:rsidRPr="00EA55ED">
              <w:t>.</w:t>
            </w:r>
          </w:p>
          <w:p w14:paraId="3294AD63" w14:textId="3C733A74" w:rsidR="00491719" w:rsidRPr="00CB1EFB" w:rsidRDefault="00491719" w:rsidP="007336B6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E872CB" w14:paraId="79240CF3" w14:textId="77777777" w:rsidTr="00E872CB">
        <w:tc>
          <w:tcPr>
            <w:tcW w:w="9016" w:type="dxa"/>
            <w:shd w:val="clear" w:color="auto" w:fill="E7E6E6" w:themeFill="background2"/>
          </w:tcPr>
          <w:p w14:paraId="51A9C62A" w14:textId="1B3FBCE5" w:rsidR="00E872CB" w:rsidRPr="00CB1EFB" w:rsidRDefault="00E872CB" w:rsidP="00E872CB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491719">
              <w:lastRenderedPageBreak/>
              <w:t>What training and support will be offered to the trainee during the placement?</w:t>
            </w:r>
          </w:p>
        </w:tc>
      </w:tr>
      <w:tr w:rsidR="00E872CB" w14:paraId="3DF67289" w14:textId="77777777" w:rsidTr="005D076E">
        <w:tc>
          <w:tcPr>
            <w:tcW w:w="9016" w:type="dxa"/>
          </w:tcPr>
          <w:p w14:paraId="5D24AEA6" w14:textId="46B812FD" w:rsidR="00377E45" w:rsidRPr="00596F7D" w:rsidRDefault="001A6414" w:rsidP="00E872CB">
            <w:pPr>
              <w:contextualSpacing/>
              <w:jc w:val="both"/>
            </w:pPr>
            <w:r w:rsidRPr="00596F7D">
              <w:t xml:space="preserve">Training in </w:t>
            </w:r>
            <w:r w:rsidR="00A36464">
              <w:t xml:space="preserve">head and neck </w:t>
            </w:r>
            <w:r w:rsidR="00596F7D">
              <w:t>anatomy, contouring</w:t>
            </w:r>
            <w:r w:rsidRPr="00596F7D">
              <w:t xml:space="preserve"> </w:t>
            </w:r>
            <w:r w:rsidR="00A36464">
              <w:t>of structures</w:t>
            </w:r>
            <w:r w:rsidRPr="00596F7D">
              <w:t xml:space="preserve">, quantitative </w:t>
            </w:r>
            <w:r w:rsidR="00327437" w:rsidRPr="00596F7D">
              <w:t>analysis,</w:t>
            </w:r>
            <w:r w:rsidRPr="00596F7D">
              <w:t xml:space="preserve"> and summary statistics. </w:t>
            </w:r>
          </w:p>
          <w:p w14:paraId="7F5A1577" w14:textId="77777777" w:rsidR="00491719" w:rsidRPr="00596F7D" w:rsidRDefault="00491719" w:rsidP="00E872CB">
            <w:pPr>
              <w:contextualSpacing/>
              <w:jc w:val="both"/>
              <w:rPr>
                <w:i/>
                <w:iCs/>
              </w:rPr>
            </w:pPr>
          </w:p>
        </w:tc>
      </w:tr>
      <w:tr w:rsidR="006A4793" w14:paraId="51C480DE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5AA6F2FB" w14:textId="77777777" w:rsidR="006A4793" w:rsidRDefault="006A4793" w:rsidP="005D076E">
            <w:pPr>
              <w:contextualSpacing/>
              <w:jc w:val="both"/>
            </w:pPr>
            <w:r>
              <w:t>Proposed Placement Timeframe:</w:t>
            </w:r>
          </w:p>
        </w:tc>
      </w:tr>
      <w:tr w:rsidR="006A4793" w14:paraId="197C3A2A" w14:textId="77777777" w:rsidTr="005D076E">
        <w:tc>
          <w:tcPr>
            <w:tcW w:w="9016" w:type="dxa"/>
          </w:tcPr>
          <w:p w14:paraId="45B3152A" w14:textId="22452DA5" w:rsidR="000A7C06" w:rsidRDefault="00B000CD" w:rsidP="000A7C0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12-week</w:t>
            </w:r>
            <w:r w:rsidR="000A7C06">
              <w:rPr>
                <w:rFonts w:ascii="Calibri" w:hAnsi="Calibri" w:cs="Calibri"/>
                <w:color w:val="000000"/>
              </w:rPr>
              <w:t xml:space="preserve"> block placement or 2 days per week for 30 weeks</w:t>
            </w:r>
          </w:p>
          <w:p w14:paraId="1472F70C" w14:textId="77777777" w:rsidR="00491719" w:rsidRDefault="00491719" w:rsidP="000A7C06">
            <w:pPr>
              <w:contextualSpacing/>
              <w:jc w:val="both"/>
            </w:pPr>
          </w:p>
        </w:tc>
      </w:tr>
      <w:tr w:rsidR="006A4793" w:rsidRPr="005E77D7" w14:paraId="42FF03E2" w14:textId="77777777" w:rsidTr="005D076E">
        <w:tc>
          <w:tcPr>
            <w:tcW w:w="9016" w:type="dxa"/>
            <w:shd w:val="clear" w:color="auto" w:fill="F2F2F2" w:themeFill="background1" w:themeFillShade="F2"/>
          </w:tcPr>
          <w:p w14:paraId="4DD01694" w14:textId="77777777" w:rsidR="006A4793" w:rsidRPr="005E77D7" w:rsidRDefault="006A4793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CB1EFB">
              <w:t>C</w:t>
            </w:r>
            <w:r>
              <w:t>ould</w:t>
            </w:r>
            <w:r w:rsidRPr="00CB1EFB">
              <w:t xml:space="preserve"> a flexible placement approach be </w:t>
            </w:r>
            <w:r>
              <w:t>supported</w:t>
            </w:r>
            <w:r w:rsidRPr="00CB1EFB">
              <w:t xml:space="preserve"> where required</w:t>
            </w:r>
            <w:r>
              <w:t>?</w:t>
            </w:r>
            <w:r w:rsidRPr="00CB1EFB">
              <w:t xml:space="preserve"> </w:t>
            </w:r>
          </w:p>
        </w:tc>
      </w:tr>
      <w:tr w:rsidR="006A4793" w:rsidRPr="00CB1EFB" w14:paraId="5E35E5C1" w14:textId="77777777" w:rsidTr="005D076E">
        <w:tc>
          <w:tcPr>
            <w:tcW w:w="9016" w:type="dxa"/>
          </w:tcPr>
          <w:p w14:paraId="786F3AF6" w14:textId="6E04C214" w:rsidR="00491719" w:rsidRPr="00CB1EFB" w:rsidRDefault="00BA5BF0" w:rsidP="005D076E">
            <w:pPr>
              <w:contextualSpacing/>
              <w:jc w:val="both"/>
            </w:pPr>
            <w:r>
              <w:t>Y</w:t>
            </w:r>
            <w:r w:rsidR="000A7C06">
              <w:t>es</w:t>
            </w:r>
          </w:p>
        </w:tc>
      </w:tr>
      <w:tr w:rsidR="00080C9D" w:rsidRPr="00CB1EFB" w14:paraId="3D2AC600" w14:textId="77777777" w:rsidTr="00080C9D">
        <w:tc>
          <w:tcPr>
            <w:tcW w:w="9016" w:type="dxa"/>
            <w:shd w:val="clear" w:color="auto" w:fill="F2F2F2" w:themeFill="background1" w:themeFillShade="F2"/>
          </w:tcPr>
          <w:p w14:paraId="392AE1F2" w14:textId="7E323159" w:rsidR="00080C9D" w:rsidRPr="00CB1EFB" w:rsidRDefault="00080C9D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  <w:r w:rsidRPr="00080C9D">
              <w:t>Proposed Start Date:</w:t>
            </w:r>
          </w:p>
        </w:tc>
      </w:tr>
      <w:tr w:rsidR="00080C9D" w:rsidRPr="00CB1EFB" w14:paraId="4A6A8134" w14:textId="77777777" w:rsidTr="005D076E">
        <w:tc>
          <w:tcPr>
            <w:tcW w:w="9016" w:type="dxa"/>
          </w:tcPr>
          <w:p w14:paraId="7791E74A" w14:textId="197A781B" w:rsidR="00080C9D" w:rsidRPr="002A7EED" w:rsidRDefault="00E12D91" w:rsidP="005D076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April</w:t>
            </w:r>
            <w:r w:rsidR="000A7C06" w:rsidRPr="002A7EED">
              <w:rPr>
                <w:color w:val="000000" w:themeColor="text1"/>
              </w:rPr>
              <w:t xml:space="preserve"> 2026</w:t>
            </w:r>
            <w:r w:rsidR="002845F4">
              <w:rPr>
                <w:color w:val="000000" w:themeColor="text1"/>
              </w:rPr>
              <w:t xml:space="preserve"> or earlier if feasible</w:t>
            </w:r>
          </w:p>
          <w:p w14:paraId="28C937B2" w14:textId="531B577C" w:rsidR="00080C9D" w:rsidRPr="002A7EED" w:rsidRDefault="00080C9D" w:rsidP="005D076E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491719" w:rsidRPr="00CB1EFB" w14:paraId="12CDECA6" w14:textId="77777777" w:rsidTr="00491719">
        <w:tc>
          <w:tcPr>
            <w:tcW w:w="9016" w:type="dxa"/>
            <w:shd w:val="clear" w:color="auto" w:fill="F2F2F2" w:themeFill="background1" w:themeFillShade="F2"/>
          </w:tcPr>
          <w:p w14:paraId="7F203CEB" w14:textId="1EC1B5CB" w:rsidR="00491719" w:rsidRPr="00491719" w:rsidRDefault="00491719" w:rsidP="005D076E">
            <w:pPr>
              <w:contextualSpacing/>
              <w:jc w:val="both"/>
              <w:rPr>
                <w:color w:val="808080" w:themeColor="background1" w:themeShade="80"/>
              </w:rPr>
            </w:pPr>
            <w:r w:rsidRPr="00491719">
              <w:t>Where will the placement participant be based during the placement?</w:t>
            </w:r>
          </w:p>
        </w:tc>
      </w:tr>
      <w:tr w:rsidR="00491719" w:rsidRPr="00CB1EFB" w14:paraId="07559186" w14:textId="77777777" w:rsidTr="005D076E">
        <w:tc>
          <w:tcPr>
            <w:tcW w:w="9016" w:type="dxa"/>
          </w:tcPr>
          <w:p w14:paraId="0C79584E" w14:textId="4037B452" w:rsidR="00491719" w:rsidRPr="002A7EED" w:rsidRDefault="00817111" w:rsidP="005D076E">
            <w:pPr>
              <w:contextualSpacing/>
              <w:jc w:val="both"/>
              <w:rPr>
                <w:color w:val="808080" w:themeColor="background1" w:themeShade="80"/>
              </w:rPr>
            </w:pPr>
            <w:r>
              <w:rPr>
                <w:color w:val="000000" w:themeColor="text1"/>
              </w:rPr>
              <w:t xml:space="preserve">The </w:t>
            </w:r>
            <w:r w:rsidR="00A81B36" w:rsidRPr="002A7EED">
              <w:rPr>
                <w:color w:val="000000" w:themeColor="text1"/>
              </w:rPr>
              <w:t xml:space="preserve">Christie </w:t>
            </w:r>
            <w:r w:rsidR="00CB76B3">
              <w:rPr>
                <w:color w:val="000000" w:themeColor="text1"/>
              </w:rPr>
              <w:t>R</w:t>
            </w:r>
            <w:r w:rsidR="00A81B36" w:rsidRPr="002A7EED">
              <w:rPr>
                <w:color w:val="000000" w:themeColor="text1"/>
              </w:rPr>
              <w:t xml:space="preserve">adiotherapy </w:t>
            </w:r>
            <w:r>
              <w:rPr>
                <w:color w:val="000000" w:themeColor="text1"/>
              </w:rPr>
              <w:t>D</w:t>
            </w:r>
            <w:r w:rsidR="00A81B36" w:rsidRPr="002A7EED">
              <w:rPr>
                <w:color w:val="000000" w:themeColor="text1"/>
              </w:rPr>
              <w:t>epartment and Paterson building (1</w:t>
            </w:r>
            <w:r w:rsidR="00A81B36" w:rsidRPr="002A7EED">
              <w:rPr>
                <w:color w:val="000000" w:themeColor="text1"/>
                <w:vertAlign w:val="superscript"/>
              </w:rPr>
              <w:t>st</w:t>
            </w:r>
            <w:r w:rsidR="00A81B36" w:rsidRPr="002A7EED">
              <w:rPr>
                <w:color w:val="000000" w:themeColor="text1"/>
              </w:rPr>
              <w:t xml:space="preserve"> floor)</w:t>
            </w:r>
          </w:p>
          <w:p w14:paraId="14CC93FA" w14:textId="00D3415F" w:rsidR="00491719" w:rsidRDefault="00491719" w:rsidP="005D076E">
            <w:pPr>
              <w:contextualSpacing/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704DF860" w14:textId="77777777" w:rsidR="00FC5205" w:rsidRDefault="00FC5205" w:rsidP="00FC5205">
      <w:pPr>
        <w:contextualSpacing/>
        <w:jc w:val="both"/>
      </w:pPr>
    </w:p>
    <w:p w14:paraId="38F7E228" w14:textId="0CA5070B" w:rsidR="00FC5205" w:rsidRPr="00491719" w:rsidRDefault="00FC5205" w:rsidP="00491719">
      <w:pPr>
        <w:contextualSpacing/>
        <w:jc w:val="both"/>
      </w:pPr>
    </w:p>
    <w:sectPr w:rsidR="00FC5205" w:rsidRPr="00491719" w:rsidSect="001C1B87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1E2C" w14:textId="77777777" w:rsidR="00C0457B" w:rsidRDefault="00C0457B" w:rsidP="001611A2">
      <w:pPr>
        <w:spacing w:after="0" w:line="240" w:lineRule="auto"/>
      </w:pPr>
      <w:r>
        <w:separator/>
      </w:r>
    </w:p>
  </w:endnote>
  <w:endnote w:type="continuationSeparator" w:id="0">
    <w:p w14:paraId="42D83B16" w14:textId="77777777" w:rsidR="00C0457B" w:rsidRDefault="00C0457B" w:rsidP="0016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9CA5" w14:textId="77777777" w:rsidR="00C0457B" w:rsidRDefault="00C0457B" w:rsidP="001611A2">
      <w:pPr>
        <w:spacing w:after="0" w:line="240" w:lineRule="auto"/>
      </w:pPr>
      <w:r>
        <w:separator/>
      </w:r>
    </w:p>
  </w:footnote>
  <w:footnote w:type="continuationSeparator" w:id="0">
    <w:p w14:paraId="097D80CA" w14:textId="77777777" w:rsidR="00C0457B" w:rsidRDefault="00C0457B" w:rsidP="0016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539B" w14:textId="3B012458" w:rsidR="001611A2" w:rsidRPr="001611A2" w:rsidRDefault="001611A2" w:rsidP="001611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DC0F93" wp14:editId="173A7885">
          <wp:simplePos x="0" y="0"/>
          <wp:positionH relativeFrom="column">
            <wp:posOffset>4409440</wp:posOffset>
          </wp:positionH>
          <wp:positionV relativeFrom="paragraph">
            <wp:posOffset>-187325</wp:posOffset>
          </wp:positionV>
          <wp:extent cx="1973580" cy="357505"/>
          <wp:effectExtent l="0" t="0" r="7620" b="4445"/>
          <wp:wrapThrough wrapText="bothSides">
            <wp:wrapPolygon edited="0">
              <wp:start x="0" y="0"/>
              <wp:lineTo x="0" y="20718"/>
              <wp:lineTo x="21475" y="20718"/>
              <wp:lineTo x="21475" y="0"/>
              <wp:lineTo x="0" y="0"/>
            </wp:wrapPolygon>
          </wp:wrapThrough>
          <wp:docPr id="1" name="x_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2D48"/>
    <w:multiLevelType w:val="multilevel"/>
    <w:tmpl w:val="C7A0C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340869"/>
    <w:multiLevelType w:val="multilevel"/>
    <w:tmpl w:val="A31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500BC"/>
    <w:multiLevelType w:val="hybridMultilevel"/>
    <w:tmpl w:val="9CCCC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75B2"/>
    <w:multiLevelType w:val="multilevel"/>
    <w:tmpl w:val="FFD0805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66261"/>
    <w:multiLevelType w:val="hybridMultilevel"/>
    <w:tmpl w:val="BFA0D6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C0BBE"/>
    <w:multiLevelType w:val="multilevel"/>
    <w:tmpl w:val="4FF0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07917"/>
    <w:multiLevelType w:val="multilevel"/>
    <w:tmpl w:val="CEEE1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55A57306"/>
    <w:multiLevelType w:val="multilevel"/>
    <w:tmpl w:val="35D6E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  <w:sz w:val="22"/>
      </w:rPr>
    </w:lvl>
  </w:abstractNum>
  <w:abstractNum w:abstractNumId="8" w15:restartNumberingAfterBreak="0">
    <w:nsid w:val="63B9069E"/>
    <w:multiLevelType w:val="hybridMultilevel"/>
    <w:tmpl w:val="0ABC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B0DE7"/>
    <w:multiLevelType w:val="hybridMultilevel"/>
    <w:tmpl w:val="29DA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45ABF"/>
    <w:multiLevelType w:val="multilevel"/>
    <w:tmpl w:val="8820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alibri" w:hAnsi="Calibri" w:cs="Calibri" w:hint="default"/>
        <w:sz w:val="22"/>
      </w:rPr>
    </w:lvl>
  </w:abstractNum>
  <w:abstractNum w:abstractNumId="11" w15:restartNumberingAfterBreak="0">
    <w:nsid w:val="6B6375D5"/>
    <w:multiLevelType w:val="hybridMultilevel"/>
    <w:tmpl w:val="95DC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D2D82"/>
    <w:multiLevelType w:val="hybridMultilevel"/>
    <w:tmpl w:val="179E8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27E0C"/>
    <w:multiLevelType w:val="multilevel"/>
    <w:tmpl w:val="D6E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39833">
    <w:abstractNumId w:val="10"/>
  </w:num>
  <w:num w:numId="2" w16cid:durableId="1103498892">
    <w:abstractNumId w:val="6"/>
  </w:num>
  <w:num w:numId="3" w16cid:durableId="124741351">
    <w:abstractNumId w:val="7"/>
  </w:num>
  <w:num w:numId="4" w16cid:durableId="900554812">
    <w:abstractNumId w:val="12"/>
  </w:num>
  <w:num w:numId="5" w16cid:durableId="1998612920">
    <w:abstractNumId w:val="11"/>
  </w:num>
  <w:num w:numId="6" w16cid:durableId="962539789">
    <w:abstractNumId w:val="5"/>
  </w:num>
  <w:num w:numId="7" w16cid:durableId="1579901221">
    <w:abstractNumId w:val="3"/>
  </w:num>
  <w:num w:numId="8" w16cid:durableId="1164513216">
    <w:abstractNumId w:val="9"/>
  </w:num>
  <w:num w:numId="9" w16cid:durableId="150608329">
    <w:abstractNumId w:val="13"/>
  </w:num>
  <w:num w:numId="10" w16cid:durableId="640883065">
    <w:abstractNumId w:val="0"/>
  </w:num>
  <w:num w:numId="11" w16cid:durableId="1159269420">
    <w:abstractNumId w:val="1"/>
  </w:num>
  <w:num w:numId="12" w16cid:durableId="516651800">
    <w:abstractNumId w:val="8"/>
  </w:num>
  <w:num w:numId="13" w16cid:durableId="1186360646">
    <w:abstractNumId w:val="2"/>
  </w:num>
  <w:num w:numId="14" w16cid:durableId="554701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A2"/>
    <w:rsid w:val="00002539"/>
    <w:rsid w:val="00002A69"/>
    <w:rsid w:val="00006F17"/>
    <w:rsid w:val="0000704B"/>
    <w:rsid w:val="000076A4"/>
    <w:rsid w:val="00022815"/>
    <w:rsid w:val="000452A7"/>
    <w:rsid w:val="00050384"/>
    <w:rsid w:val="00054918"/>
    <w:rsid w:val="00064809"/>
    <w:rsid w:val="00066597"/>
    <w:rsid w:val="000704C0"/>
    <w:rsid w:val="000732CA"/>
    <w:rsid w:val="00073F9F"/>
    <w:rsid w:val="0007430D"/>
    <w:rsid w:val="00080C9D"/>
    <w:rsid w:val="0008210F"/>
    <w:rsid w:val="000846FE"/>
    <w:rsid w:val="0008652F"/>
    <w:rsid w:val="00086E3F"/>
    <w:rsid w:val="00087296"/>
    <w:rsid w:val="00090152"/>
    <w:rsid w:val="00097352"/>
    <w:rsid w:val="000A23AA"/>
    <w:rsid w:val="000A254C"/>
    <w:rsid w:val="000A58A8"/>
    <w:rsid w:val="000A7C06"/>
    <w:rsid w:val="000C35BF"/>
    <w:rsid w:val="000C40DD"/>
    <w:rsid w:val="000D2541"/>
    <w:rsid w:val="000F4751"/>
    <w:rsid w:val="00102540"/>
    <w:rsid w:val="00115C28"/>
    <w:rsid w:val="00117BE4"/>
    <w:rsid w:val="00117D8B"/>
    <w:rsid w:val="00120771"/>
    <w:rsid w:val="001218E8"/>
    <w:rsid w:val="001318B1"/>
    <w:rsid w:val="00131935"/>
    <w:rsid w:val="00132B2E"/>
    <w:rsid w:val="00136F1D"/>
    <w:rsid w:val="00143685"/>
    <w:rsid w:val="00151D0C"/>
    <w:rsid w:val="001600A6"/>
    <w:rsid w:val="001611A2"/>
    <w:rsid w:val="001633C6"/>
    <w:rsid w:val="00163643"/>
    <w:rsid w:val="00165655"/>
    <w:rsid w:val="0017270A"/>
    <w:rsid w:val="0019465B"/>
    <w:rsid w:val="001A52D0"/>
    <w:rsid w:val="001A5CCF"/>
    <w:rsid w:val="001A6414"/>
    <w:rsid w:val="001B09EF"/>
    <w:rsid w:val="001B4BE5"/>
    <w:rsid w:val="001C1B87"/>
    <w:rsid w:val="001C5EFC"/>
    <w:rsid w:val="001C749F"/>
    <w:rsid w:val="001D309B"/>
    <w:rsid w:val="001E2160"/>
    <w:rsid w:val="001E2840"/>
    <w:rsid w:val="001E7BF4"/>
    <w:rsid w:val="001F1F8A"/>
    <w:rsid w:val="00202A5C"/>
    <w:rsid w:val="0021662C"/>
    <w:rsid w:val="00223FD8"/>
    <w:rsid w:val="00232AEF"/>
    <w:rsid w:val="002356E4"/>
    <w:rsid w:val="002364F5"/>
    <w:rsid w:val="00242A79"/>
    <w:rsid w:val="00246482"/>
    <w:rsid w:val="002507EE"/>
    <w:rsid w:val="00252FF0"/>
    <w:rsid w:val="00257666"/>
    <w:rsid w:val="002845F4"/>
    <w:rsid w:val="00291F43"/>
    <w:rsid w:val="002950B7"/>
    <w:rsid w:val="0029783B"/>
    <w:rsid w:val="00297EDF"/>
    <w:rsid w:val="002A07B0"/>
    <w:rsid w:val="002A6638"/>
    <w:rsid w:val="002A7EED"/>
    <w:rsid w:val="002B7DE5"/>
    <w:rsid w:val="002C556F"/>
    <w:rsid w:val="002D289D"/>
    <w:rsid w:val="002E4910"/>
    <w:rsid w:val="002F21EF"/>
    <w:rsid w:val="002F3F9A"/>
    <w:rsid w:val="002F7619"/>
    <w:rsid w:val="00313045"/>
    <w:rsid w:val="003131B7"/>
    <w:rsid w:val="0031611E"/>
    <w:rsid w:val="00317FBE"/>
    <w:rsid w:val="003263E9"/>
    <w:rsid w:val="00327437"/>
    <w:rsid w:val="0033403F"/>
    <w:rsid w:val="003353F8"/>
    <w:rsid w:val="00341548"/>
    <w:rsid w:val="003510FA"/>
    <w:rsid w:val="0035403C"/>
    <w:rsid w:val="00360150"/>
    <w:rsid w:val="00366D12"/>
    <w:rsid w:val="00367B9D"/>
    <w:rsid w:val="00377E45"/>
    <w:rsid w:val="00382F98"/>
    <w:rsid w:val="00384ED1"/>
    <w:rsid w:val="003867C3"/>
    <w:rsid w:val="003905BB"/>
    <w:rsid w:val="003932D0"/>
    <w:rsid w:val="00396647"/>
    <w:rsid w:val="003A0E18"/>
    <w:rsid w:val="003B0F7D"/>
    <w:rsid w:val="003B275A"/>
    <w:rsid w:val="003B43B5"/>
    <w:rsid w:val="003C03D4"/>
    <w:rsid w:val="003E670E"/>
    <w:rsid w:val="003F2ED4"/>
    <w:rsid w:val="003F621D"/>
    <w:rsid w:val="00400419"/>
    <w:rsid w:val="00401E35"/>
    <w:rsid w:val="004079E1"/>
    <w:rsid w:val="00410EAE"/>
    <w:rsid w:val="00412582"/>
    <w:rsid w:val="00413010"/>
    <w:rsid w:val="00417060"/>
    <w:rsid w:val="0041729F"/>
    <w:rsid w:val="00422CCC"/>
    <w:rsid w:val="00426C7B"/>
    <w:rsid w:val="0043190B"/>
    <w:rsid w:val="00432BC9"/>
    <w:rsid w:val="00442BA7"/>
    <w:rsid w:val="00443BA7"/>
    <w:rsid w:val="00443FF5"/>
    <w:rsid w:val="00460CA0"/>
    <w:rsid w:val="00466B1F"/>
    <w:rsid w:val="00481E40"/>
    <w:rsid w:val="00490D7A"/>
    <w:rsid w:val="00491719"/>
    <w:rsid w:val="004A33D1"/>
    <w:rsid w:val="004A683F"/>
    <w:rsid w:val="004A6981"/>
    <w:rsid w:val="004B5D2C"/>
    <w:rsid w:val="004C46DF"/>
    <w:rsid w:val="004C6000"/>
    <w:rsid w:val="004D3835"/>
    <w:rsid w:val="004D46CD"/>
    <w:rsid w:val="004E10DA"/>
    <w:rsid w:val="004E4A33"/>
    <w:rsid w:val="004E500F"/>
    <w:rsid w:val="004F64BE"/>
    <w:rsid w:val="004F6855"/>
    <w:rsid w:val="00513D82"/>
    <w:rsid w:val="00515477"/>
    <w:rsid w:val="005255F4"/>
    <w:rsid w:val="005372A9"/>
    <w:rsid w:val="00537515"/>
    <w:rsid w:val="00537E9A"/>
    <w:rsid w:val="00542733"/>
    <w:rsid w:val="005450F3"/>
    <w:rsid w:val="00550D63"/>
    <w:rsid w:val="005565AC"/>
    <w:rsid w:val="005601E2"/>
    <w:rsid w:val="00561507"/>
    <w:rsid w:val="005622A4"/>
    <w:rsid w:val="00562F19"/>
    <w:rsid w:val="0056519A"/>
    <w:rsid w:val="00565674"/>
    <w:rsid w:val="005702C7"/>
    <w:rsid w:val="005714F0"/>
    <w:rsid w:val="00573AD6"/>
    <w:rsid w:val="00575C9F"/>
    <w:rsid w:val="00575F53"/>
    <w:rsid w:val="00580594"/>
    <w:rsid w:val="00595801"/>
    <w:rsid w:val="00596661"/>
    <w:rsid w:val="00596F7D"/>
    <w:rsid w:val="005B536A"/>
    <w:rsid w:val="005C1A1C"/>
    <w:rsid w:val="005C5CB2"/>
    <w:rsid w:val="005D2040"/>
    <w:rsid w:val="005E0012"/>
    <w:rsid w:val="005E242C"/>
    <w:rsid w:val="005E77D7"/>
    <w:rsid w:val="005F0A7C"/>
    <w:rsid w:val="005F1AB7"/>
    <w:rsid w:val="005F5859"/>
    <w:rsid w:val="005F5EDA"/>
    <w:rsid w:val="005F5FDC"/>
    <w:rsid w:val="00600115"/>
    <w:rsid w:val="00621FED"/>
    <w:rsid w:val="006231FA"/>
    <w:rsid w:val="0063237D"/>
    <w:rsid w:val="00635B49"/>
    <w:rsid w:val="00643B90"/>
    <w:rsid w:val="00645FC8"/>
    <w:rsid w:val="0064642A"/>
    <w:rsid w:val="0065093A"/>
    <w:rsid w:val="006536D4"/>
    <w:rsid w:val="006602A8"/>
    <w:rsid w:val="0066199A"/>
    <w:rsid w:val="006673AE"/>
    <w:rsid w:val="00680DCB"/>
    <w:rsid w:val="00684E1C"/>
    <w:rsid w:val="006915A2"/>
    <w:rsid w:val="006A1B65"/>
    <w:rsid w:val="006A4793"/>
    <w:rsid w:val="006A59FF"/>
    <w:rsid w:val="006C5224"/>
    <w:rsid w:val="006D7958"/>
    <w:rsid w:val="006E0F50"/>
    <w:rsid w:val="006E27EA"/>
    <w:rsid w:val="006E4393"/>
    <w:rsid w:val="006F538F"/>
    <w:rsid w:val="0070064F"/>
    <w:rsid w:val="00703964"/>
    <w:rsid w:val="00704AFE"/>
    <w:rsid w:val="00713564"/>
    <w:rsid w:val="0071394D"/>
    <w:rsid w:val="007266BB"/>
    <w:rsid w:val="007336B6"/>
    <w:rsid w:val="00737E75"/>
    <w:rsid w:val="00740269"/>
    <w:rsid w:val="007418D2"/>
    <w:rsid w:val="00743EF0"/>
    <w:rsid w:val="007558C5"/>
    <w:rsid w:val="007565A9"/>
    <w:rsid w:val="007607DA"/>
    <w:rsid w:val="00761A31"/>
    <w:rsid w:val="00766FDC"/>
    <w:rsid w:val="00776169"/>
    <w:rsid w:val="00782CCA"/>
    <w:rsid w:val="00782EB7"/>
    <w:rsid w:val="00784530"/>
    <w:rsid w:val="00784A4B"/>
    <w:rsid w:val="0079130C"/>
    <w:rsid w:val="007A0A0B"/>
    <w:rsid w:val="007A69AA"/>
    <w:rsid w:val="007B1133"/>
    <w:rsid w:val="007C57E7"/>
    <w:rsid w:val="007C69B2"/>
    <w:rsid w:val="007D2C5D"/>
    <w:rsid w:val="007D7770"/>
    <w:rsid w:val="007E5CDE"/>
    <w:rsid w:val="007F52D9"/>
    <w:rsid w:val="00812289"/>
    <w:rsid w:val="00817111"/>
    <w:rsid w:val="0081713E"/>
    <w:rsid w:val="008211C3"/>
    <w:rsid w:val="00823119"/>
    <w:rsid w:val="00832A58"/>
    <w:rsid w:val="00832E56"/>
    <w:rsid w:val="008409E1"/>
    <w:rsid w:val="0084423A"/>
    <w:rsid w:val="0084734F"/>
    <w:rsid w:val="00874733"/>
    <w:rsid w:val="008930E4"/>
    <w:rsid w:val="008936B9"/>
    <w:rsid w:val="008940EF"/>
    <w:rsid w:val="008A1464"/>
    <w:rsid w:val="008A3362"/>
    <w:rsid w:val="008A4CDB"/>
    <w:rsid w:val="008A5595"/>
    <w:rsid w:val="008B4868"/>
    <w:rsid w:val="008C0D97"/>
    <w:rsid w:val="008C0FCC"/>
    <w:rsid w:val="008C2996"/>
    <w:rsid w:val="008C40BD"/>
    <w:rsid w:val="008D10B1"/>
    <w:rsid w:val="008D3C6F"/>
    <w:rsid w:val="008D770C"/>
    <w:rsid w:val="008E57BA"/>
    <w:rsid w:val="008F0FE1"/>
    <w:rsid w:val="0090236C"/>
    <w:rsid w:val="00914499"/>
    <w:rsid w:val="0091715F"/>
    <w:rsid w:val="00926A73"/>
    <w:rsid w:val="0092751F"/>
    <w:rsid w:val="0093048F"/>
    <w:rsid w:val="00931783"/>
    <w:rsid w:val="009361F5"/>
    <w:rsid w:val="009543BA"/>
    <w:rsid w:val="00970C5A"/>
    <w:rsid w:val="009807F8"/>
    <w:rsid w:val="00986CF9"/>
    <w:rsid w:val="0099141F"/>
    <w:rsid w:val="009A4005"/>
    <w:rsid w:val="009B0287"/>
    <w:rsid w:val="009B25F4"/>
    <w:rsid w:val="009C3237"/>
    <w:rsid w:val="009D2A9A"/>
    <w:rsid w:val="009E39C1"/>
    <w:rsid w:val="00A06254"/>
    <w:rsid w:val="00A14E20"/>
    <w:rsid w:val="00A24238"/>
    <w:rsid w:val="00A31245"/>
    <w:rsid w:val="00A36464"/>
    <w:rsid w:val="00A438C4"/>
    <w:rsid w:val="00A50109"/>
    <w:rsid w:val="00A67544"/>
    <w:rsid w:val="00A6795C"/>
    <w:rsid w:val="00A800E6"/>
    <w:rsid w:val="00A802E4"/>
    <w:rsid w:val="00A81B36"/>
    <w:rsid w:val="00A82E6E"/>
    <w:rsid w:val="00A861C5"/>
    <w:rsid w:val="00A9676B"/>
    <w:rsid w:val="00AA0160"/>
    <w:rsid w:val="00AA21C6"/>
    <w:rsid w:val="00AA47BB"/>
    <w:rsid w:val="00AB27B5"/>
    <w:rsid w:val="00AB6328"/>
    <w:rsid w:val="00AB66B2"/>
    <w:rsid w:val="00AC5BBB"/>
    <w:rsid w:val="00AC7579"/>
    <w:rsid w:val="00AD6F4E"/>
    <w:rsid w:val="00AE2C34"/>
    <w:rsid w:val="00AE474B"/>
    <w:rsid w:val="00AF326D"/>
    <w:rsid w:val="00AF6D28"/>
    <w:rsid w:val="00B000CD"/>
    <w:rsid w:val="00B01A0B"/>
    <w:rsid w:val="00B02E2B"/>
    <w:rsid w:val="00B03406"/>
    <w:rsid w:val="00B1545A"/>
    <w:rsid w:val="00B236B0"/>
    <w:rsid w:val="00B53C92"/>
    <w:rsid w:val="00B55640"/>
    <w:rsid w:val="00B60463"/>
    <w:rsid w:val="00B6724F"/>
    <w:rsid w:val="00B71243"/>
    <w:rsid w:val="00B867F1"/>
    <w:rsid w:val="00BA360E"/>
    <w:rsid w:val="00BA431E"/>
    <w:rsid w:val="00BA5658"/>
    <w:rsid w:val="00BA5BF0"/>
    <w:rsid w:val="00BB3638"/>
    <w:rsid w:val="00BC1526"/>
    <w:rsid w:val="00BC671E"/>
    <w:rsid w:val="00BC68C3"/>
    <w:rsid w:val="00BF18DA"/>
    <w:rsid w:val="00BF6935"/>
    <w:rsid w:val="00C02B40"/>
    <w:rsid w:val="00C0457B"/>
    <w:rsid w:val="00C246E2"/>
    <w:rsid w:val="00C33219"/>
    <w:rsid w:val="00C36571"/>
    <w:rsid w:val="00C54301"/>
    <w:rsid w:val="00C63652"/>
    <w:rsid w:val="00C67CB5"/>
    <w:rsid w:val="00C8435A"/>
    <w:rsid w:val="00C86FEB"/>
    <w:rsid w:val="00C95704"/>
    <w:rsid w:val="00C97B87"/>
    <w:rsid w:val="00CA0478"/>
    <w:rsid w:val="00CA7945"/>
    <w:rsid w:val="00CB1EFB"/>
    <w:rsid w:val="00CB76B3"/>
    <w:rsid w:val="00CC22BC"/>
    <w:rsid w:val="00CC35F8"/>
    <w:rsid w:val="00CC6EBA"/>
    <w:rsid w:val="00CE1000"/>
    <w:rsid w:val="00CE5FFF"/>
    <w:rsid w:val="00CF45DD"/>
    <w:rsid w:val="00CF493A"/>
    <w:rsid w:val="00D0387B"/>
    <w:rsid w:val="00D054E8"/>
    <w:rsid w:val="00D07A6D"/>
    <w:rsid w:val="00D07D4B"/>
    <w:rsid w:val="00D15BF8"/>
    <w:rsid w:val="00D2354A"/>
    <w:rsid w:val="00D30A97"/>
    <w:rsid w:val="00D3760C"/>
    <w:rsid w:val="00D42DD2"/>
    <w:rsid w:val="00D430CB"/>
    <w:rsid w:val="00D47BF8"/>
    <w:rsid w:val="00D50A41"/>
    <w:rsid w:val="00D5693E"/>
    <w:rsid w:val="00D652DB"/>
    <w:rsid w:val="00D70B92"/>
    <w:rsid w:val="00D729AC"/>
    <w:rsid w:val="00D75B4A"/>
    <w:rsid w:val="00D87F4B"/>
    <w:rsid w:val="00D92C23"/>
    <w:rsid w:val="00D965E9"/>
    <w:rsid w:val="00DA04C5"/>
    <w:rsid w:val="00DB4F07"/>
    <w:rsid w:val="00DC3083"/>
    <w:rsid w:val="00DD61BE"/>
    <w:rsid w:val="00DE5DDA"/>
    <w:rsid w:val="00DE6AEF"/>
    <w:rsid w:val="00DF4784"/>
    <w:rsid w:val="00E12D91"/>
    <w:rsid w:val="00E27F2C"/>
    <w:rsid w:val="00E34A30"/>
    <w:rsid w:val="00E369E6"/>
    <w:rsid w:val="00E372C0"/>
    <w:rsid w:val="00E426CC"/>
    <w:rsid w:val="00E4525F"/>
    <w:rsid w:val="00E737D0"/>
    <w:rsid w:val="00E839C1"/>
    <w:rsid w:val="00E872CB"/>
    <w:rsid w:val="00E92623"/>
    <w:rsid w:val="00E9537C"/>
    <w:rsid w:val="00E953D5"/>
    <w:rsid w:val="00E974C2"/>
    <w:rsid w:val="00EA05CF"/>
    <w:rsid w:val="00EA373E"/>
    <w:rsid w:val="00EA421A"/>
    <w:rsid w:val="00EA5009"/>
    <w:rsid w:val="00EA55ED"/>
    <w:rsid w:val="00EA7815"/>
    <w:rsid w:val="00EB32EC"/>
    <w:rsid w:val="00EB3882"/>
    <w:rsid w:val="00EB610F"/>
    <w:rsid w:val="00ED64E4"/>
    <w:rsid w:val="00EE13FC"/>
    <w:rsid w:val="00EE5EC1"/>
    <w:rsid w:val="00EF166C"/>
    <w:rsid w:val="00EF1F6D"/>
    <w:rsid w:val="00F0783D"/>
    <w:rsid w:val="00F07C9B"/>
    <w:rsid w:val="00F24B3F"/>
    <w:rsid w:val="00F24DC5"/>
    <w:rsid w:val="00F2784E"/>
    <w:rsid w:val="00F34B00"/>
    <w:rsid w:val="00F42184"/>
    <w:rsid w:val="00F47AFF"/>
    <w:rsid w:val="00F732FD"/>
    <w:rsid w:val="00F81081"/>
    <w:rsid w:val="00F868D0"/>
    <w:rsid w:val="00F91B6C"/>
    <w:rsid w:val="00FA6030"/>
    <w:rsid w:val="00FB2248"/>
    <w:rsid w:val="00FB6233"/>
    <w:rsid w:val="00FC3DC9"/>
    <w:rsid w:val="00FC5205"/>
    <w:rsid w:val="00FC6B33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5E25"/>
  <w15:chartTrackingRefBased/>
  <w15:docId w15:val="{8D6320D7-09D6-4AF3-B359-8E5457D9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A2"/>
  </w:style>
  <w:style w:type="paragraph" w:styleId="Footer">
    <w:name w:val="footer"/>
    <w:basedOn w:val="Normal"/>
    <w:link w:val="FooterChar"/>
    <w:uiPriority w:val="99"/>
    <w:unhideWhenUsed/>
    <w:rsid w:val="00161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A2"/>
  </w:style>
  <w:style w:type="paragraph" w:customStyle="1" w:styleId="paragraph">
    <w:name w:val="paragraph"/>
    <w:basedOn w:val="Normal"/>
    <w:rsid w:val="0046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6B1F"/>
  </w:style>
  <w:style w:type="character" w:styleId="CommentReference">
    <w:name w:val="annotation reference"/>
    <w:basedOn w:val="DefaultParagraphFont"/>
    <w:uiPriority w:val="99"/>
    <w:semiHidden/>
    <w:unhideWhenUsed/>
    <w:rsid w:val="0046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B1F"/>
    <w:rPr>
      <w:sz w:val="20"/>
      <w:szCs w:val="20"/>
    </w:rPr>
  </w:style>
  <w:style w:type="paragraph" w:styleId="NoSpacing">
    <w:name w:val="No Spacing"/>
    <w:uiPriority w:val="1"/>
    <w:qFormat/>
    <w:rsid w:val="00466B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B0287"/>
    <w:rPr>
      <w:b/>
      <w:bCs/>
    </w:rPr>
  </w:style>
  <w:style w:type="character" w:customStyle="1" w:styleId="eop">
    <w:name w:val="eop"/>
    <w:basedOn w:val="DefaultParagraphFont"/>
    <w:rsid w:val="00643B90"/>
  </w:style>
  <w:style w:type="character" w:styleId="Hyperlink">
    <w:name w:val="Hyperlink"/>
    <w:basedOn w:val="DefaultParagraphFont"/>
    <w:uiPriority w:val="99"/>
    <w:unhideWhenUsed/>
    <w:rsid w:val="000821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1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0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7E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2BA7"/>
    <w:rPr>
      <w:color w:val="808080"/>
    </w:rPr>
  </w:style>
  <w:style w:type="character" w:styleId="Emphasis">
    <w:name w:val="Emphasis"/>
    <w:basedOn w:val="DefaultParagraphFont"/>
    <w:uiPriority w:val="20"/>
    <w:qFormat/>
    <w:rsid w:val="00556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anne.aznar@manch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nthia.eccles1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.davies33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08746F10B2A47A65ADF7DE10E5AE6" ma:contentTypeVersion="16" ma:contentTypeDescription="Create a new document." ma:contentTypeScope="" ma:versionID="623d68f28d319d4df09ac9db02d45740">
  <xsd:schema xmlns:xsd="http://www.w3.org/2001/XMLSchema" xmlns:xs="http://www.w3.org/2001/XMLSchema" xmlns:p="http://schemas.microsoft.com/office/2006/metadata/properties" xmlns:ns3="3af8db99-60d8-4215-b431-948a25e298b4" xmlns:ns4="332710db-8f46-443d-8bef-3d4b379f6baa" targetNamespace="http://schemas.microsoft.com/office/2006/metadata/properties" ma:root="true" ma:fieldsID="dc39495477a63d555d5bdaa7ede71cc6" ns3:_="" ns4:_="">
    <xsd:import namespace="3af8db99-60d8-4215-b431-948a25e298b4"/>
    <xsd:import namespace="332710db-8f46-443d-8bef-3d4b379f6b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db99-60d8-4215-b431-948a25e298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10db-8f46-443d-8bef-3d4b379f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2710db-8f46-443d-8bef-3d4b379f6b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6E04C-877B-4159-BF5C-362F158FB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8db99-60d8-4215-b431-948a25e298b4"/>
    <ds:schemaRef ds:uri="332710db-8f46-443d-8bef-3d4b379f6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F9AC6-10A9-4394-9007-F40EF413C836}">
  <ds:schemaRefs>
    <ds:schemaRef ds:uri="http://schemas.microsoft.com/office/2006/metadata/properties"/>
    <ds:schemaRef ds:uri="http://schemas.microsoft.com/office/infopath/2007/PartnerControls"/>
    <ds:schemaRef ds:uri="332710db-8f46-443d-8bef-3d4b379f6baa"/>
  </ds:schemaRefs>
</ds:datastoreItem>
</file>

<file path=customXml/itemProps3.xml><?xml version="1.0" encoding="utf-8"?>
<ds:datastoreItem xmlns:ds="http://schemas.openxmlformats.org/officeDocument/2006/customXml" ds:itemID="{AC55AEE1-6722-4D0D-B565-CB20C1C0FD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1164</Words>
  <Characters>6963</Characters>
  <Application>Microsoft Office Word</Application>
  <DocSecurity>4</DocSecurity>
  <Lines>145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2</cp:revision>
  <dcterms:created xsi:type="dcterms:W3CDTF">2025-10-24T08:35:00Z</dcterms:created>
  <dcterms:modified xsi:type="dcterms:W3CDTF">2025-10-24T08:35:00Z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0x0101004FC08746F10B2A47A65ADF7DE10E5AE6</vt:lpwstr>
  </property>
</Properties>
</file>