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A6795C" w:rsidP="005E77D7" w:rsidRDefault="00A6795C" w14:paraId="70A07FC0" w14:textId="69220199">
      <w:pPr>
        <w:spacing/>
        <w:contextualSpacing/>
        <w:jc w:val="center"/>
        <w:rPr>
          <w:b w:val="1"/>
          <w:bCs w:val="1"/>
        </w:rPr>
      </w:pPr>
    </w:p>
    <w:p w:rsidRPr="005E77D7" w:rsidR="0008210F" w:rsidP="005E77D7" w:rsidRDefault="0008210F" w14:paraId="6DFD333F" w14:textId="0358617C">
      <w:pPr>
        <w:contextualSpacing/>
        <w:jc w:val="center"/>
        <w:rPr>
          <w:b/>
          <w:bCs/>
        </w:rPr>
      </w:pPr>
      <w:r w:rsidRPr="005E77D7">
        <w:rPr>
          <w:b/>
          <w:bCs/>
        </w:rPr>
        <w:lastRenderedPageBreak/>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5548E8" w:rsidTr="2B5981F2" w14:paraId="1091FF5E" w14:textId="77777777">
        <w:tc>
          <w:tcPr>
            <w:tcW w:w="2547" w:type="dxa"/>
            <w:shd w:val="clear" w:color="auto" w:fill="F2F2F2" w:themeFill="background1" w:themeFillShade="F2"/>
            <w:tcMar/>
          </w:tcPr>
          <w:p w:rsidRPr="00E872CB" w:rsidR="005548E8" w:rsidP="005548E8" w:rsidRDefault="005548E8" w14:paraId="79D0C4E8" w14:textId="2CD3BDF2">
            <w:pPr>
              <w:contextualSpacing/>
              <w:jc w:val="both"/>
              <w:rPr>
                <w:b/>
                <w:bCs/>
              </w:rPr>
            </w:pPr>
            <w:r w:rsidRPr="00E872CB">
              <w:rPr>
                <w:b/>
                <w:bCs/>
              </w:rPr>
              <w:t>BRC Cluster:</w:t>
            </w:r>
          </w:p>
        </w:tc>
        <w:tc>
          <w:tcPr>
            <w:tcW w:w="6469" w:type="dxa"/>
            <w:tcMar/>
          </w:tcPr>
          <w:p w:rsidR="005548E8" w:rsidP="005548E8" w:rsidRDefault="005548E8" w14:paraId="591EE05C" w14:textId="07E3966D">
            <w:pPr>
              <w:contextualSpacing/>
              <w:jc w:val="both"/>
            </w:pPr>
            <w:r>
              <w:t>Inflammation</w:t>
            </w:r>
          </w:p>
        </w:tc>
      </w:tr>
      <w:tr w:rsidR="005548E8" w:rsidTr="2B5981F2" w14:paraId="644C595D" w14:textId="77777777">
        <w:tc>
          <w:tcPr>
            <w:tcW w:w="2547" w:type="dxa"/>
            <w:shd w:val="clear" w:color="auto" w:fill="F2F2F2" w:themeFill="background1" w:themeFillShade="F2"/>
            <w:tcMar/>
          </w:tcPr>
          <w:p w:rsidRPr="00E872CB" w:rsidR="005548E8" w:rsidP="005548E8" w:rsidRDefault="005548E8" w14:paraId="4BFE79BC" w14:textId="53B45B81">
            <w:pPr>
              <w:contextualSpacing/>
              <w:jc w:val="both"/>
              <w:rPr>
                <w:b/>
                <w:bCs/>
              </w:rPr>
            </w:pPr>
            <w:r w:rsidRPr="00E872CB">
              <w:rPr>
                <w:b/>
                <w:bCs/>
              </w:rPr>
              <w:t>BRC Theme:</w:t>
            </w:r>
          </w:p>
        </w:tc>
        <w:tc>
          <w:tcPr>
            <w:tcW w:w="6469" w:type="dxa"/>
            <w:tcMar/>
          </w:tcPr>
          <w:p w:rsidR="005548E8" w:rsidP="005548E8" w:rsidRDefault="005548E8" w14:paraId="7C911129" w14:textId="7D607271">
            <w:pPr>
              <w:spacing/>
              <w:contextualSpacing/>
              <w:jc w:val="both"/>
            </w:pPr>
            <w:r w:rsidR="000109BC">
              <w:rPr/>
              <w:t>Cardiology</w:t>
            </w:r>
          </w:p>
        </w:tc>
      </w:tr>
      <w:tr w:rsidR="0008210F" w:rsidTr="2B5981F2" w14:paraId="0253C1C3" w14:textId="77777777">
        <w:tc>
          <w:tcPr>
            <w:tcW w:w="2547" w:type="dxa"/>
            <w:shd w:val="clear" w:color="auto" w:fill="F2F2F2" w:themeFill="background1" w:themeFillShade="F2"/>
            <w:tcMar/>
          </w:tcPr>
          <w:p w:rsidRPr="00E872CB" w:rsidR="0008210F" w:rsidP="00513D82" w:rsidRDefault="0008210F" w14:paraId="600D2E35" w14:textId="5B610B4B">
            <w:pPr>
              <w:contextualSpacing/>
              <w:jc w:val="both"/>
              <w:rPr>
                <w:b/>
                <w:bCs/>
              </w:rPr>
            </w:pPr>
            <w:r w:rsidRPr="00E872CB">
              <w:rPr>
                <w:b/>
                <w:bCs/>
              </w:rPr>
              <w:t>Project Title:</w:t>
            </w:r>
          </w:p>
        </w:tc>
        <w:tc>
          <w:tcPr>
            <w:tcW w:w="6469" w:type="dxa"/>
            <w:tcMar/>
          </w:tcPr>
          <w:p w:rsidRPr="005548E8" w:rsidR="00491719" w:rsidP="2B5981F2" w:rsidRDefault="00472E87" w14:paraId="74B296E5" w14:textId="332800F3">
            <w:pPr>
              <w:pStyle w:val="NormalWeb"/>
              <w:rPr>
                <w:rFonts w:ascii="Aptos" w:hAnsi="Aptos"/>
                <w:b w:val="1"/>
                <w:bCs w:val="1"/>
              </w:rPr>
            </w:pPr>
            <w:r w:rsidRPr="2B5981F2" w:rsidR="00472E87">
              <w:rPr>
                <w:rFonts w:ascii="Aptos" w:hAnsi="Aptos"/>
                <w:b w:val="1"/>
                <w:bCs w:val="1"/>
              </w:rPr>
              <w:t>Exploring the impact of postnatal antihypertensive regimens on blood pressure control following pre-eclampsia</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D30654" w:rsidTr="005D076E" w14:paraId="1F61F118" w14:textId="77777777">
        <w:tc>
          <w:tcPr>
            <w:tcW w:w="2547" w:type="dxa"/>
            <w:shd w:val="clear" w:color="auto" w:fill="F2F2F2" w:themeFill="background1" w:themeFillShade="F2"/>
          </w:tcPr>
          <w:p w:rsidR="00D30654" w:rsidP="00D30654" w:rsidRDefault="00D30654" w14:paraId="57F63B28" w14:textId="7C5AE067">
            <w:pPr>
              <w:contextualSpacing/>
              <w:jc w:val="both"/>
            </w:pPr>
            <w:r>
              <w:t>Name:</w:t>
            </w:r>
          </w:p>
        </w:tc>
        <w:tc>
          <w:tcPr>
            <w:tcW w:w="6469" w:type="dxa"/>
          </w:tcPr>
          <w:p w:rsidR="00D30654" w:rsidP="00D30654" w:rsidRDefault="00D30654" w14:paraId="1C485E9A" w14:textId="35BA5C97">
            <w:pPr>
              <w:contextualSpacing/>
              <w:jc w:val="both"/>
            </w:pPr>
            <w:r>
              <w:t xml:space="preserve">Laura Ormesher </w:t>
            </w:r>
          </w:p>
        </w:tc>
      </w:tr>
      <w:tr w:rsidR="00D30654" w:rsidTr="005D076E" w14:paraId="5E51F84E" w14:textId="77777777">
        <w:tc>
          <w:tcPr>
            <w:tcW w:w="2547" w:type="dxa"/>
            <w:shd w:val="clear" w:color="auto" w:fill="F2F2F2" w:themeFill="background1" w:themeFillShade="F2"/>
          </w:tcPr>
          <w:p w:rsidR="00D30654" w:rsidP="00D30654" w:rsidRDefault="00D30654" w14:paraId="39E01837" w14:textId="455FBF70">
            <w:pPr>
              <w:contextualSpacing/>
              <w:jc w:val="both"/>
            </w:pPr>
            <w:r>
              <w:t>Base:</w:t>
            </w:r>
          </w:p>
        </w:tc>
        <w:tc>
          <w:tcPr>
            <w:tcW w:w="6469" w:type="dxa"/>
          </w:tcPr>
          <w:p w:rsidR="00D30654" w:rsidP="00D30654" w:rsidRDefault="00D30654" w14:paraId="650DD284" w14:textId="3358A9E1">
            <w:pPr>
              <w:contextualSpacing/>
              <w:jc w:val="both"/>
            </w:pPr>
            <w:r>
              <w:t>Maternal &amp; Fetal Health Research Centre, St Mary’s Hospital</w:t>
            </w:r>
          </w:p>
        </w:tc>
      </w:tr>
      <w:tr w:rsidR="00D30654" w:rsidTr="005D076E" w14:paraId="18D2E8A9" w14:textId="77777777">
        <w:tc>
          <w:tcPr>
            <w:tcW w:w="2547" w:type="dxa"/>
            <w:shd w:val="clear" w:color="auto" w:fill="F2F2F2" w:themeFill="background1" w:themeFillShade="F2"/>
          </w:tcPr>
          <w:p w:rsidR="00D30654" w:rsidP="00D30654" w:rsidRDefault="00D30654" w14:paraId="10EC6147" w14:textId="609EC4F7">
            <w:pPr>
              <w:contextualSpacing/>
              <w:jc w:val="both"/>
            </w:pPr>
            <w:r>
              <w:t>Email Address:</w:t>
            </w:r>
          </w:p>
        </w:tc>
        <w:tc>
          <w:tcPr>
            <w:tcW w:w="6469" w:type="dxa"/>
          </w:tcPr>
          <w:p w:rsidR="00D30654" w:rsidP="00D30654" w:rsidRDefault="00D30654" w14:paraId="575CA92C" w14:textId="1D981F74">
            <w:pPr>
              <w:contextualSpacing/>
              <w:jc w:val="both"/>
            </w:pPr>
            <w:hyperlink w:history="1" r:id="rId10">
              <w:r w:rsidRPr="00A472ED">
                <w:rPr>
                  <w:rStyle w:val="Hyperlink"/>
                </w:rPr>
                <w:t>Laura.ormesher@manchester.ac.uk</w:t>
              </w:r>
            </w:hyperlink>
            <w:r>
              <w:t xml:space="preserve"> </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A2340D" w:rsidTr="005D076E" w14:paraId="60F25E3E" w14:textId="77777777">
        <w:tc>
          <w:tcPr>
            <w:tcW w:w="2547" w:type="dxa"/>
            <w:shd w:val="clear" w:color="auto" w:fill="F2F2F2" w:themeFill="background1" w:themeFillShade="F2"/>
          </w:tcPr>
          <w:p w:rsidR="00A2340D" w:rsidP="00A2340D" w:rsidRDefault="00A2340D" w14:paraId="45303FCC" w14:textId="06D34F44">
            <w:pPr>
              <w:contextualSpacing/>
              <w:jc w:val="both"/>
            </w:pPr>
            <w:r>
              <w:t>Name:</w:t>
            </w:r>
          </w:p>
        </w:tc>
        <w:tc>
          <w:tcPr>
            <w:tcW w:w="6469" w:type="dxa"/>
          </w:tcPr>
          <w:p w:rsidR="00A2340D" w:rsidP="00A2340D" w:rsidRDefault="00A2340D" w14:paraId="670C6101" w14:textId="4F2DE336">
            <w:pPr>
              <w:contextualSpacing/>
              <w:jc w:val="both"/>
            </w:pPr>
            <w:r>
              <w:t xml:space="preserve">Jenny Myers </w:t>
            </w:r>
          </w:p>
        </w:tc>
      </w:tr>
      <w:tr w:rsidR="00A2340D" w:rsidTr="005D076E" w14:paraId="0814EFC3" w14:textId="77777777">
        <w:tc>
          <w:tcPr>
            <w:tcW w:w="2547" w:type="dxa"/>
            <w:shd w:val="clear" w:color="auto" w:fill="F2F2F2" w:themeFill="background1" w:themeFillShade="F2"/>
          </w:tcPr>
          <w:p w:rsidR="00A2340D" w:rsidP="00A2340D" w:rsidRDefault="00A2340D" w14:paraId="0B0B370A" w14:textId="7394A50A">
            <w:pPr>
              <w:contextualSpacing/>
              <w:jc w:val="both"/>
            </w:pPr>
            <w:r>
              <w:t>Base:</w:t>
            </w:r>
          </w:p>
        </w:tc>
        <w:tc>
          <w:tcPr>
            <w:tcW w:w="6469" w:type="dxa"/>
          </w:tcPr>
          <w:p w:rsidR="00A2340D" w:rsidP="00A2340D" w:rsidRDefault="00A2340D" w14:paraId="484B33F4" w14:textId="2E7278F1">
            <w:pPr>
              <w:contextualSpacing/>
              <w:jc w:val="both"/>
            </w:pPr>
            <w:r>
              <w:t>Maternal &amp; Fetal Health Research Centre, St Mary’s Hospital</w:t>
            </w:r>
          </w:p>
        </w:tc>
      </w:tr>
      <w:tr w:rsidRPr="00737E75" w:rsidR="00A2340D" w:rsidTr="005D076E" w14:paraId="157FD508" w14:textId="77777777">
        <w:tc>
          <w:tcPr>
            <w:tcW w:w="2547" w:type="dxa"/>
            <w:shd w:val="clear" w:color="auto" w:fill="F2F2F2" w:themeFill="background1" w:themeFillShade="F2"/>
          </w:tcPr>
          <w:p w:rsidR="00A2340D" w:rsidP="00A2340D" w:rsidRDefault="00A2340D" w14:paraId="5BC3D656" w14:textId="288C5976">
            <w:pPr>
              <w:contextualSpacing/>
              <w:jc w:val="both"/>
            </w:pPr>
            <w:r>
              <w:t>Email Address:</w:t>
            </w:r>
          </w:p>
        </w:tc>
        <w:tc>
          <w:tcPr>
            <w:tcW w:w="6469" w:type="dxa"/>
          </w:tcPr>
          <w:p w:rsidRPr="00737E75" w:rsidR="00A2340D" w:rsidP="00A2340D" w:rsidRDefault="00A2340D" w14:paraId="030297A2" w14:textId="789685B9">
            <w:pPr>
              <w:contextualSpacing/>
              <w:jc w:val="both"/>
            </w:pPr>
            <w:hyperlink w:history="1" r:id="rId11">
              <w:r w:rsidRPr="00D849D9">
                <w:rPr>
                  <w:rStyle w:val="Hyperlink"/>
                </w:rPr>
                <w:t>Jenny.myers@manchester.ac.uk</w:t>
              </w:r>
            </w:hyperlink>
            <w:r>
              <w:t xml:space="preserve"> </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386E89E9"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386E89E9" w14:paraId="5DB65897" w14:textId="77777777">
        <w:tc>
          <w:tcPr>
            <w:tcW w:w="9016" w:type="dxa"/>
            <w:tcMar/>
          </w:tcPr>
          <w:p w:rsidR="00491719" w:rsidP="00491719" w:rsidRDefault="00491719" w14:paraId="32071BB9" w14:textId="216C112A">
            <w:pPr>
              <w:jc w:val="both"/>
            </w:pPr>
          </w:p>
          <w:p w:rsidR="005548E8" w:rsidP="005548E8" w:rsidRDefault="005548E8" w14:paraId="5A8FD736" w14:textId="7C9DA97D">
            <w:pPr>
              <w:jc w:val="both"/>
              <w:rPr>
                <w:rFonts w:ascii="Aptos" w:hAnsi="Aptos"/>
              </w:rPr>
            </w:pPr>
            <w:r>
              <w:t xml:space="preserve">Pre-eclampsia affects 3-5% of pregnancies and is associated with a high prevalence of persistent postnatal cardiovascular morbidity. </w:t>
            </w:r>
            <w:r w:rsidRPr="00633E3B">
              <w:rPr>
                <w:rStyle w:val="normaltextrun"/>
                <w:rFonts w:ascii="Aptos" w:hAnsi="Aptos" w:eastAsiaTheme="majorEastAsia"/>
                <w:color w:val="000000"/>
                <w:shd w:val="clear" w:color="auto" w:fill="FFFFFF"/>
              </w:rPr>
              <w:t xml:space="preserve">Emerging evidence highlights postnatal </w:t>
            </w:r>
            <w:r w:rsidR="007A5705">
              <w:rPr>
                <w:rStyle w:val="normaltextrun"/>
                <w:rFonts w:ascii="Aptos" w:hAnsi="Aptos" w:eastAsiaTheme="majorEastAsia"/>
                <w:color w:val="000000"/>
                <w:shd w:val="clear" w:color="auto" w:fill="FFFFFF"/>
              </w:rPr>
              <w:t>b</w:t>
            </w:r>
            <w:r w:rsidR="007A5705">
              <w:rPr>
                <w:rStyle w:val="normaltextrun"/>
                <w:rFonts w:eastAsiaTheme="majorEastAsia"/>
                <w:color w:val="000000"/>
                <w:shd w:val="clear" w:color="auto" w:fill="FFFFFF"/>
              </w:rPr>
              <w:t>lood pressure (</w:t>
            </w:r>
            <w:r w:rsidRPr="00633E3B">
              <w:rPr>
                <w:rStyle w:val="normaltextrun"/>
                <w:rFonts w:ascii="Aptos" w:hAnsi="Aptos" w:eastAsiaTheme="majorEastAsia"/>
                <w:color w:val="000000"/>
                <w:shd w:val="clear" w:color="auto" w:fill="FFFFFF"/>
              </w:rPr>
              <w:t>BP</w:t>
            </w:r>
            <w:r w:rsidR="007A5705">
              <w:rPr>
                <w:rStyle w:val="normaltextrun"/>
                <w:rFonts w:ascii="Aptos" w:hAnsi="Aptos" w:eastAsiaTheme="majorEastAsia"/>
                <w:color w:val="000000"/>
                <w:shd w:val="clear" w:color="auto" w:fill="FFFFFF"/>
              </w:rPr>
              <w:t>)</w:t>
            </w:r>
            <w:r w:rsidRPr="00633E3B">
              <w:rPr>
                <w:rStyle w:val="normaltextrun"/>
                <w:rFonts w:ascii="Aptos" w:hAnsi="Aptos" w:eastAsiaTheme="majorEastAsia"/>
                <w:color w:val="000000"/>
                <w:shd w:val="clear" w:color="auto" w:fill="FFFFFF"/>
              </w:rPr>
              <w:t xml:space="preserve"> as both a marker and potential modifier of long-term cardiovascular health</w:t>
            </w:r>
            <w:r w:rsidRPr="00633E3B">
              <w:rPr>
                <w:rFonts w:ascii="Aptos" w:hAnsi="Aptos"/>
              </w:rPr>
              <w:t xml:space="preserve">. </w:t>
            </w:r>
            <w:r>
              <w:rPr>
                <w:rFonts w:ascii="Aptos" w:hAnsi="Aptos"/>
              </w:rPr>
              <w:t>Additionally, u</w:t>
            </w:r>
            <w:r w:rsidRPr="00633E3B">
              <w:rPr>
                <w:rFonts w:ascii="Aptos" w:hAnsi="Aptos"/>
              </w:rPr>
              <w:t xml:space="preserve">nplanned hospital readmission </w:t>
            </w:r>
            <w:r>
              <w:rPr>
                <w:rFonts w:ascii="Aptos" w:hAnsi="Aptos"/>
              </w:rPr>
              <w:t xml:space="preserve">is very common </w:t>
            </w:r>
            <w:r w:rsidRPr="00633E3B">
              <w:rPr>
                <w:rFonts w:ascii="Aptos" w:hAnsi="Aptos"/>
              </w:rPr>
              <w:t xml:space="preserve">after </w:t>
            </w:r>
            <w:r>
              <w:rPr>
                <w:rFonts w:ascii="Aptos" w:hAnsi="Aptos"/>
              </w:rPr>
              <w:t>pre-eclampsia (29% at MFT)</w:t>
            </w:r>
            <w:r w:rsidRPr="00633E3B">
              <w:rPr>
                <w:rFonts w:ascii="Aptos" w:hAnsi="Aptos"/>
              </w:rPr>
              <w:t>, creating distress for women and placing a burden on healthcare systems. Despite this, evidence to guide postnatal antihypertensive prescribing remains limited.</w:t>
            </w:r>
            <w:r>
              <w:rPr>
                <w:rFonts w:ascii="Aptos" w:hAnsi="Aptos"/>
              </w:rPr>
              <w:t xml:space="preserve"> At MFT, 28 </w:t>
            </w:r>
            <w:r w:rsidR="000B3314">
              <w:rPr>
                <w:rFonts w:ascii="Aptos" w:hAnsi="Aptos"/>
              </w:rPr>
              <w:t xml:space="preserve">different </w:t>
            </w:r>
            <w:r>
              <w:rPr>
                <w:rFonts w:ascii="Aptos" w:hAnsi="Aptos"/>
              </w:rPr>
              <w:t xml:space="preserve">postnatal </w:t>
            </w:r>
            <w:r w:rsidR="000B3314">
              <w:rPr>
                <w:rFonts w:ascii="Aptos" w:hAnsi="Aptos"/>
              </w:rPr>
              <w:t>antihypertensive</w:t>
            </w:r>
            <w:r>
              <w:rPr>
                <w:rFonts w:ascii="Aptos" w:hAnsi="Aptos"/>
              </w:rPr>
              <w:t xml:space="preserve"> regimens were prescribed to 570 women over </w:t>
            </w:r>
            <w:r w:rsidR="00CB568A">
              <w:rPr>
                <w:rFonts w:ascii="Aptos" w:hAnsi="Aptos"/>
              </w:rPr>
              <w:t xml:space="preserve">a </w:t>
            </w:r>
            <w:r>
              <w:rPr>
                <w:rFonts w:ascii="Aptos" w:hAnsi="Aptos"/>
              </w:rPr>
              <w:t>6</w:t>
            </w:r>
            <w:r w:rsidR="00CB568A">
              <w:rPr>
                <w:rFonts w:ascii="Aptos" w:hAnsi="Aptos"/>
              </w:rPr>
              <w:t>-</w:t>
            </w:r>
            <w:r>
              <w:rPr>
                <w:rFonts w:ascii="Aptos" w:hAnsi="Aptos"/>
              </w:rPr>
              <w:t>mont</w:t>
            </w:r>
            <w:r w:rsidR="00CB568A">
              <w:rPr>
                <w:rFonts w:ascii="Aptos" w:hAnsi="Aptos"/>
              </w:rPr>
              <w:t>h period</w:t>
            </w:r>
            <w:r>
              <w:rPr>
                <w:rFonts w:ascii="Aptos" w:hAnsi="Aptos"/>
              </w:rPr>
              <w:t xml:space="preserve"> in 2024, </w:t>
            </w:r>
            <w:r w:rsidR="00CB568A">
              <w:rPr>
                <w:rFonts w:ascii="Aptos" w:hAnsi="Aptos"/>
              </w:rPr>
              <w:t>demonstrating</w:t>
            </w:r>
            <w:r>
              <w:rPr>
                <w:rFonts w:ascii="Aptos" w:hAnsi="Aptos"/>
              </w:rPr>
              <w:t xml:space="preserve"> the </w:t>
            </w:r>
            <w:r w:rsidR="00BC02C6">
              <w:rPr>
                <w:rFonts w:ascii="Aptos" w:hAnsi="Aptos"/>
              </w:rPr>
              <w:t>absence</w:t>
            </w:r>
            <w:r>
              <w:rPr>
                <w:rFonts w:ascii="Aptos" w:hAnsi="Aptos"/>
              </w:rPr>
              <w:t xml:space="preserve"> of consensus </w:t>
            </w:r>
            <w:r w:rsidR="00BC02C6">
              <w:rPr>
                <w:rFonts w:ascii="Aptos" w:hAnsi="Aptos"/>
              </w:rPr>
              <w:t xml:space="preserve">or guidance </w:t>
            </w:r>
            <w:r>
              <w:rPr>
                <w:rFonts w:ascii="Aptos" w:hAnsi="Aptos"/>
              </w:rPr>
              <w:t xml:space="preserve">on </w:t>
            </w:r>
            <w:r w:rsidR="00087070">
              <w:rPr>
                <w:rFonts w:ascii="Aptos" w:hAnsi="Aptos"/>
              </w:rPr>
              <w:t>o</w:t>
            </w:r>
            <w:r w:rsidR="004054F2">
              <w:rPr>
                <w:rFonts w:ascii="Aptos" w:hAnsi="Aptos"/>
              </w:rPr>
              <w:t>p</w:t>
            </w:r>
            <w:r w:rsidR="00087070">
              <w:rPr>
                <w:rFonts w:ascii="Aptos" w:hAnsi="Aptos"/>
              </w:rPr>
              <w:t>t</w:t>
            </w:r>
            <w:r w:rsidR="004054F2">
              <w:rPr>
                <w:rFonts w:ascii="Aptos" w:hAnsi="Aptos"/>
              </w:rPr>
              <w:t>imal treatment.</w:t>
            </w:r>
            <w:r w:rsidR="005D5FEC">
              <w:rPr>
                <w:rFonts w:ascii="Aptos" w:hAnsi="Aptos"/>
              </w:rPr>
              <w:t xml:space="preserve"> </w:t>
            </w:r>
            <w:r>
              <w:rPr>
                <w:rFonts w:ascii="Aptos" w:hAnsi="Aptos"/>
              </w:rPr>
              <w:t xml:space="preserve">BP is particularly labile in the first 2 weeks postpartum, </w:t>
            </w:r>
            <w:r w:rsidR="00087070">
              <w:rPr>
                <w:rFonts w:ascii="Aptos" w:hAnsi="Aptos"/>
              </w:rPr>
              <w:t>with marked inter-individual variation in trajectory and therapeutic response.</w:t>
            </w:r>
          </w:p>
          <w:p w:rsidR="005548E8" w:rsidP="006D7958" w:rsidRDefault="005548E8" w14:paraId="395C0976" w14:textId="77777777">
            <w:pPr>
              <w:jc w:val="both"/>
              <w:rPr>
                <w:rFonts w:ascii="Aptos" w:hAnsi="Aptos"/>
              </w:rPr>
            </w:pPr>
          </w:p>
          <w:p w:rsidR="00491719" w:rsidP="006D7958" w:rsidRDefault="005548E8" w14:paraId="48F045E8" w14:textId="5FDA480C">
            <w:pPr>
              <w:jc w:val="both"/>
            </w:pPr>
            <w:r w:rsidR="005548E8">
              <w:rPr/>
              <w:t xml:space="preserve">The </w:t>
            </w:r>
            <w:r w:rsidR="006232C6">
              <w:rPr/>
              <w:t xml:space="preserve">current </w:t>
            </w:r>
            <w:r w:rsidR="005548E8">
              <w:rPr/>
              <w:t xml:space="preserve">gold standard for hypertension diagnosis </w:t>
            </w:r>
            <w:r w:rsidR="006232C6">
              <w:rPr/>
              <w:t>and monitoring is ambulatory BP monitoring (</w:t>
            </w:r>
            <w:r w:rsidR="005548E8">
              <w:rPr/>
              <w:t>ABPM</w:t>
            </w:r>
            <w:r w:rsidR="006232C6">
              <w:rPr/>
              <w:t>)</w:t>
            </w:r>
            <w:r w:rsidR="000F29A6">
              <w:rPr/>
              <w:t>,</w:t>
            </w:r>
            <w:r w:rsidR="005548E8">
              <w:rPr/>
              <w:t xml:space="preserve"> but this </w:t>
            </w:r>
            <w:r w:rsidR="000F29A6">
              <w:rPr/>
              <w:t xml:space="preserve">approach was poorly tolerated in </w:t>
            </w:r>
            <w:r w:rsidR="005548E8">
              <w:rPr/>
              <w:t>the postnatal period</w:t>
            </w:r>
            <w:r w:rsidR="000F29A6">
              <w:rPr/>
              <w:t xml:space="preserve">. We therefore propose to evaluate a cuffless wearable </w:t>
            </w:r>
            <w:r w:rsidR="009D423F">
              <w:rPr/>
              <w:t>device,</w:t>
            </w:r>
            <w:r w:rsidR="000F29A6">
              <w:rPr/>
              <w:t xml:space="preserve"> capable of continuous BP and cardiovascular parameter monitoring over the first 14 days postpartum. </w:t>
            </w:r>
            <w:r w:rsidR="00A07D55">
              <w:rPr/>
              <w:t>This feasibility study will assess the acceptability, usability, and reliability of the device in women following pre-eclampsia and explore early associations between antihypertensive prescribing, BP trajectories, and cardiovascular recovery.</w:t>
            </w:r>
          </w:p>
          <w:p w:rsidR="00491719" w:rsidP="006D7958" w:rsidRDefault="005548E8" w14:paraId="0CE23921" w14:textId="582F9EA7">
            <w:pPr>
              <w:jc w:val="both"/>
            </w:pPr>
          </w:p>
        </w:tc>
      </w:tr>
      <w:tr w:rsidR="006A4793" w:rsidTr="386E89E9"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t>Potential Outcomes / Impact:</w:t>
            </w:r>
          </w:p>
        </w:tc>
      </w:tr>
      <w:tr w:rsidR="006A4793" w:rsidTr="386E89E9" w14:paraId="63299B13" w14:textId="77777777">
        <w:tc>
          <w:tcPr>
            <w:tcW w:w="9016" w:type="dxa"/>
            <w:tcMar/>
          </w:tcPr>
          <w:p w:rsidR="00A07D55" w:rsidP="00A07D55" w:rsidRDefault="00A07D55" w14:paraId="41AA2DFE" w14:textId="5DFB5091">
            <w:pPr>
              <w:pStyle w:val="NormalWeb"/>
              <w:numPr>
                <w:ilvl w:val="0"/>
                <w:numId w:val="14"/>
              </w:numPr>
              <w:rPr>
                <w:rFonts w:ascii="Calibri" w:hAnsi="Calibri" w:cs="Calibri"/>
                <w:sz w:val="22"/>
                <w:szCs w:val="22"/>
              </w:rPr>
            </w:pPr>
            <w:r>
              <w:rPr>
                <w:rFonts w:ascii="Calibri" w:hAnsi="Calibri" w:cs="Calibri"/>
                <w:sz w:val="22"/>
                <w:szCs w:val="22"/>
              </w:rPr>
              <w:t>Early validation of a novel digital health technology for postpartum BP monitoring</w:t>
            </w:r>
          </w:p>
          <w:p w:rsidR="00A07D55" w:rsidP="00A07D55" w:rsidRDefault="00A07D55" w14:paraId="219EF8DD" w14:textId="7B749EE2">
            <w:pPr>
              <w:pStyle w:val="NormalWeb"/>
              <w:numPr>
                <w:ilvl w:val="0"/>
                <w:numId w:val="14"/>
              </w:numPr>
              <w:rPr>
                <w:rFonts w:ascii="Calibri" w:hAnsi="Calibri" w:cs="Calibri"/>
                <w:sz w:val="22"/>
                <w:szCs w:val="22"/>
              </w:rPr>
            </w:pPr>
            <w:r>
              <w:rPr>
                <w:rFonts w:ascii="Calibri" w:hAnsi="Calibri" w:cs="Calibri"/>
                <w:sz w:val="22"/>
                <w:szCs w:val="22"/>
              </w:rPr>
              <w:t>Insight into BP trajectories and treatment responses following pre-eclampsia</w:t>
            </w:r>
          </w:p>
          <w:p w:rsidR="00A07D55" w:rsidP="00A07D55" w:rsidRDefault="00A07D55" w14:paraId="5863406D" w14:textId="211270BC">
            <w:pPr>
              <w:pStyle w:val="NormalWeb"/>
              <w:numPr>
                <w:ilvl w:val="0"/>
                <w:numId w:val="14"/>
              </w:numPr>
              <w:rPr>
                <w:rFonts w:ascii="Calibri" w:hAnsi="Calibri" w:cs="Calibri"/>
                <w:sz w:val="22"/>
                <w:szCs w:val="22"/>
              </w:rPr>
            </w:pPr>
            <w:r>
              <w:rPr>
                <w:rFonts w:ascii="Calibri" w:hAnsi="Calibri" w:cs="Calibri"/>
                <w:sz w:val="22"/>
                <w:szCs w:val="22"/>
              </w:rPr>
              <w:t>Foundations for a larger intervention trial to optimise postnatal hypertension management</w:t>
            </w:r>
          </w:p>
          <w:p w:rsidR="00491719" w:rsidP="00042C0B" w:rsidRDefault="00A07D55" w14:paraId="224CFE79" w14:textId="77777777">
            <w:pPr>
              <w:pStyle w:val="NormalWeb"/>
              <w:numPr>
                <w:ilvl w:val="0"/>
                <w:numId w:val="14"/>
              </w:numPr>
              <w:rPr>
                <w:rFonts w:ascii="Calibri" w:hAnsi="Calibri" w:cs="Calibri"/>
                <w:sz w:val="22"/>
                <w:szCs w:val="22"/>
              </w:rPr>
            </w:pPr>
            <w:r>
              <w:rPr>
                <w:rFonts w:ascii="Calibri" w:hAnsi="Calibri" w:cs="Calibri"/>
                <w:sz w:val="22"/>
                <w:szCs w:val="22"/>
              </w:rPr>
              <w:t xml:space="preserve">Improved patient experience through less intrusive </w:t>
            </w:r>
            <w:r w:rsidR="00685CA1">
              <w:rPr>
                <w:rFonts w:ascii="Calibri" w:hAnsi="Calibri" w:cs="Calibri"/>
                <w:sz w:val="22"/>
                <w:szCs w:val="22"/>
              </w:rPr>
              <w:t>BP</w:t>
            </w:r>
            <w:r w:rsidR="00E156EC">
              <w:rPr>
                <w:rFonts w:ascii="Calibri" w:hAnsi="Calibri" w:cs="Calibri"/>
                <w:sz w:val="22"/>
                <w:szCs w:val="22"/>
              </w:rPr>
              <w:t xml:space="preserve"> </w:t>
            </w:r>
            <w:r>
              <w:rPr>
                <w:rFonts w:ascii="Calibri" w:hAnsi="Calibri" w:cs="Calibri"/>
                <w:sz w:val="22"/>
                <w:szCs w:val="22"/>
              </w:rPr>
              <w:t>monitoring</w:t>
            </w:r>
          </w:p>
          <w:p w:rsidRPr="00042C0B" w:rsidR="003652B0" w:rsidP="00042C0B" w:rsidRDefault="003652B0" w14:paraId="678D40E6" w14:textId="35EE5A02">
            <w:pPr>
              <w:pStyle w:val="NormalWeb"/>
              <w:numPr>
                <w:ilvl w:val="0"/>
                <w:numId w:val="14"/>
              </w:numPr>
              <w:rPr>
                <w:rFonts w:ascii="Calibri" w:hAnsi="Calibri" w:cs="Calibri"/>
                <w:sz w:val="22"/>
                <w:szCs w:val="22"/>
              </w:rPr>
            </w:pPr>
            <w:r w:rsidRPr="32475486" w:rsidR="003652B0">
              <w:rPr>
                <w:rFonts w:ascii="Calibri" w:hAnsi="Calibri" w:cs="Calibri"/>
                <w:sz w:val="22"/>
                <w:szCs w:val="22"/>
              </w:rPr>
              <w:t>Contribution to reducing health inequalities, by improving a more acceptable and accessible method of postnatal cardiovasc</w:t>
            </w:r>
            <w:r w:rsidRPr="32475486" w:rsidR="001B4801">
              <w:rPr>
                <w:rFonts w:ascii="Calibri" w:hAnsi="Calibri" w:cs="Calibri"/>
                <w:sz w:val="22"/>
                <w:szCs w:val="22"/>
              </w:rPr>
              <w:t>u</w:t>
            </w:r>
            <w:r w:rsidRPr="32475486" w:rsidR="003652B0">
              <w:rPr>
                <w:rFonts w:ascii="Calibri" w:hAnsi="Calibri" w:cs="Calibri"/>
                <w:sz w:val="22"/>
                <w:szCs w:val="22"/>
              </w:rPr>
              <w:t>lar follow-up for women who face barriers to in-person care</w:t>
            </w:r>
          </w:p>
          <w:p w:rsidRPr="00042C0B" w:rsidR="003652B0" w:rsidP="00042C0B" w:rsidRDefault="003652B0" w14:paraId="68BE2F4D" w14:textId="58E3290C">
            <w:pPr>
              <w:pStyle w:val="NormalWeb"/>
              <w:numPr>
                <w:ilvl w:val="0"/>
                <w:numId w:val="14"/>
              </w:numPr>
              <w:rPr>
                <w:rFonts w:ascii="Calibri" w:hAnsi="Calibri" w:cs="Calibri"/>
                <w:sz w:val="22"/>
                <w:szCs w:val="22"/>
              </w:rPr>
            </w:pPr>
          </w:p>
        </w:tc>
      </w:tr>
      <w:tr w:rsidR="006A4793" w:rsidTr="386E89E9"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t>Who would be suitable for th</w:t>
            </w:r>
            <w:r w:rsidR="00E872CB">
              <w:t>e</w:t>
            </w:r>
            <w:r>
              <w:t xml:space="preserve"> placement?</w:t>
            </w:r>
          </w:p>
        </w:tc>
      </w:tr>
      <w:tr w:rsidR="006A4793" w:rsidTr="386E89E9" w14:paraId="044EB5F4" w14:textId="77777777">
        <w:tc>
          <w:tcPr>
            <w:tcW w:w="9016" w:type="dxa"/>
            <w:tcMar/>
          </w:tcPr>
          <w:p w:rsidRPr="00E96410" w:rsidR="007336B6" w:rsidP="007336B6" w:rsidRDefault="008268A1" w14:paraId="5EC34A9C" w14:textId="4B0BA0F7">
            <w:pPr>
              <w:jc w:val="both"/>
              <w:rPr>
                <w:color w:val="000000" w:themeColor="text1"/>
              </w:rPr>
            </w:pPr>
            <w:r w:rsidRPr="00E96410">
              <w:rPr>
                <w:color w:val="000000" w:themeColor="text1"/>
              </w:rPr>
              <w:t xml:space="preserve">A midwife, nurse, </w:t>
            </w:r>
            <w:r w:rsidR="00D241FD">
              <w:rPr>
                <w:color w:val="000000" w:themeColor="text1"/>
              </w:rPr>
              <w:t>healthcare science pro</w:t>
            </w:r>
            <w:r w:rsidR="00931A0D">
              <w:rPr>
                <w:color w:val="000000" w:themeColor="text1"/>
              </w:rPr>
              <w:t>f</w:t>
            </w:r>
            <w:r w:rsidR="00D241FD">
              <w:rPr>
                <w:color w:val="000000" w:themeColor="text1"/>
              </w:rPr>
              <w:t xml:space="preserve">essional </w:t>
            </w:r>
            <w:r w:rsidRPr="00E96410">
              <w:rPr>
                <w:color w:val="000000" w:themeColor="text1"/>
              </w:rPr>
              <w:t>or allied health professional with an interest in maternity, cardiovascular health, or digital innovation.</w:t>
            </w:r>
            <w:r w:rsidR="00D241FD">
              <w:rPr>
                <w:color w:val="000000" w:themeColor="text1"/>
              </w:rPr>
              <w:t xml:space="preserve"> </w:t>
            </w:r>
          </w:p>
          <w:p w:rsidRPr="007336B6" w:rsidR="00491719" w:rsidP="007336B6" w:rsidRDefault="00491719" w14:paraId="5ADDA6A4" w14:textId="5A47A611">
            <w:pPr>
              <w:contextualSpacing/>
              <w:jc w:val="both"/>
              <w:rPr>
                <w:i/>
                <w:iCs/>
                <w:color w:val="808080" w:themeColor="background1" w:themeShade="80"/>
              </w:rPr>
            </w:pPr>
          </w:p>
        </w:tc>
      </w:tr>
      <w:tr w:rsidR="00E872CB" w:rsidTr="386E89E9"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lastRenderedPageBreak/>
              <w:t>Are there any pre-requisites that are required in advance of the placement?</w:t>
            </w:r>
          </w:p>
        </w:tc>
      </w:tr>
      <w:tr w:rsidR="00E872CB" w:rsidTr="386E89E9" w14:paraId="3F7366BE" w14:textId="77777777">
        <w:tc>
          <w:tcPr>
            <w:tcW w:w="9016" w:type="dxa"/>
            <w:tcMar/>
          </w:tcPr>
          <w:p w:rsidRPr="008A24FA" w:rsidR="00491719" w:rsidP="32475486" w:rsidRDefault="00122460" w14:paraId="40D6EBA0" w14:textId="54823F73">
            <w:pPr>
              <w:pStyle w:val="NormalWeb"/>
              <w:rPr>
                <w:rFonts w:ascii="Calibri" w:hAnsi="Calibri" w:cs="Calibri"/>
                <w:sz w:val="22"/>
                <w:szCs w:val="22"/>
              </w:rPr>
            </w:pPr>
            <w:r w:rsidRPr="32475486" w:rsidR="00122460">
              <w:rPr>
                <w:rFonts w:ascii="Calibri" w:hAnsi="Calibri" w:cs="Calibri"/>
                <w:sz w:val="22"/>
                <w:szCs w:val="22"/>
              </w:rPr>
              <w:t>None</w:t>
            </w:r>
          </w:p>
          <w:p w:rsidRPr="008A24FA" w:rsidR="00491719" w:rsidP="006453D2" w:rsidRDefault="00122460" w14:paraId="46A4E85F" w14:textId="2DEF2AE7">
            <w:pPr>
              <w:pStyle w:val="NormalWeb"/>
              <w:rPr>
                <w:rFonts w:ascii="Calibri" w:hAnsi="Calibri" w:cs="Calibri"/>
                <w:sz w:val="22"/>
                <w:szCs w:val="22"/>
              </w:rPr>
            </w:pPr>
          </w:p>
        </w:tc>
      </w:tr>
      <w:tr w:rsidR="00E872CB" w:rsidTr="386E89E9"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386E89E9" w14:paraId="0CCC70AE" w14:textId="77777777">
        <w:tc>
          <w:tcPr>
            <w:tcW w:w="9016" w:type="dxa"/>
            <w:tcMar/>
          </w:tcPr>
          <w:p w:rsidRPr="00B74F94" w:rsidR="000A3447" w:rsidP="000A3447" w:rsidRDefault="000A3447" w14:paraId="5C8F2312" w14:textId="77777777">
            <w:pPr>
              <w:contextualSpacing/>
              <w:jc w:val="both"/>
              <w:rPr>
                <w:rFonts w:cstheme="minorHAnsi"/>
                <w:color w:val="000000" w:themeColor="text1"/>
              </w:rPr>
            </w:pPr>
            <w:r w:rsidRPr="00B74F94">
              <w:rPr>
                <w:rFonts w:cstheme="minorHAnsi"/>
                <w:color w:val="000000" w:themeColor="text1"/>
              </w:rPr>
              <w:t>Research skills:</w:t>
            </w:r>
          </w:p>
          <w:p w:rsidRPr="00B74F94" w:rsidR="000A3447" w:rsidP="007406A4" w:rsidRDefault="000A3447" w14:paraId="7A41597B" w14:textId="77777777">
            <w:pPr>
              <w:pStyle w:val="ListParagraph"/>
              <w:numPr>
                <w:ilvl w:val="0"/>
                <w:numId w:val="15"/>
              </w:numPr>
              <w:jc w:val="both"/>
              <w:rPr>
                <w:rFonts w:cstheme="minorHAnsi"/>
                <w:color w:val="000000" w:themeColor="text1"/>
              </w:rPr>
            </w:pPr>
            <w:r w:rsidRPr="00B74F94">
              <w:rPr>
                <w:rFonts w:cstheme="minorHAnsi"/>
                <w:color w:val="000000" w:themeColor="text1"/>
              </w:rPr>
              <w:t>Completion of online training in Good Clinical Practice</w:t>
            </w:r>
          </w:p>
          <w:p w:rsidRPr="00B74F94" w:rsidR="000A3447" w:rsidP="007406A4" w:rsidRDefault="000A3447" w14:paraId="3812ABC3" w14:textId="2944E5E2">
            <w:pPr>
              <w:pStyle w:val="ListParagraph"/>
              <w:numPr>
                <w:ilvl w:val="0"/>
                <w:numId w:val="15"/>
              </w:numPr>
              <w:jc w:val="both"/>
              <w:rPr>
                <w:rFonts w:cstheme="minorHAnsi"/>
                <w:color w:val="000000" w:themeColor="text1"/>
              </w:rPr>
            </w:pPr>
            <w:r w:rsidRPr="00B74F94">
              <w:rPr>
                <w:rFonts w:cstheme="minorHAnsi"/>
                <w:color w:val="000000" w:themeColor="text1"/>
              </w:rPr>
              <w:t>Deeper understanding of translational research methodologies</w:t>
            </w:r>
          </w:p>
          <w:p w:rsidR="000A3447" w:rsidP="007406A4" w:rsidRDefault="000A3447" w14:paraId="3F5416DB" w14:textId="3F2F25E4">
            <w:pPr>
              <w:pStyle w:val="ListParagraph"/>
              <w:numPr>
                <w:ilvl w:val="0"/>
                <w:numId w:val="15"/>
              </w:numPr>
              <w:jc w:val="both"/>
              <w:rPr>
                <w:rFonts w:cstheme="minorHAnsi"/>
                <w:color w:val="000000" w:themeColor="text1"/>
              </w:rPr>
            </w:pPr>
            <w:r w:rsidRPr="00B74F94">
              <w:rPr>
                <w:rFonts w:cstheme="minorHAnsi"/>
                <w:color w:val="000000" w:themeColor="text1"/>
              </w:rPr>
              <w:t xml:space="preserve">Recruitment to </w:t>
            </w:r>
            <w:r>
              <w:rPr>
                <w:rFonts w:cstheme="minorHAnsi"/>
                <w:color w:val="000000" w:themeColor="text1"/>
              </w:rPr>
              <w:t xml:space="preserve">a </w:t>
            </w:r>
            <w:r w:rsidRPr="00B74F94">
              <w:rPr>
                <w:rFonts w:cstheme="minorHAnsi"/>
                <w:color w:val="000000" w:themeColor="text1"/>
              </w:rPr>
              <w:t>postnatal research stud</w:t>
            </w:r>
            <w:r>
              <w:rPr>
                <w:rFonts w:cstheme="minorHAnsi"/>
                <w:color w:val="000000" w:themeColor="text1"/>
              </w:rPr>
              <w:t>y</w:t>
            </w:r>
          </w:p>
          <w:p w:rsidRPr="007406A4" w:rsidR="007406A4" w:rsidP="007406A4" w:rsidRDefault="007406A4" w14:paraId="21A641C0" w14:textId="572D307B">
            <w:pPr>
              <w:pStyle w:val="ListParagraph"/>
              <w:numPr>
                <w:ilvl w:val="0"/>
                <w:numId w:val="15"/>
              </w:numPr>
              <w:jc w:val="both"/>
              <w:rPr>
                <w:color w:val="000000" w:themeColor="text1"/>
              </w:rPr>
            </w:pPr>
            <w:r w:rsidRPr="001E3BDF">
              <w:rPr>
                <w:color w:val="000000" w:themeColor="text1"/>
              </w:rPr>
              <w:t>Training in data analysis</w:t>
            </w:r>
          </w:p>
          <w:p w:rsidRPr="00B74F94" w:rsidR="000A3447" w:rsidP="000A3447" w:rsidRDefault="000A3447" w14:paraId="1BCA8AF2" w14:textId="77777777">
            <w:pPr>
              <w:jc w:val="both"/>
              <w:rPr>
                <w:rFonts w:cstheme="minorHAnsi"/>
                <w:color w:val="000000" w:themeColor="text1"/>
              </w:rPr>
            </w:pPr>
          </w:p>
          <w:p w:rsidRPr="00B74F94" w:rsidR="000A3447" w:rsidP="000A3447" w:rsidRDefault="000A3447" w14:paraId="44412035" w14:textId="77777777">
            <w:pPr>
              <w:jc w:val="both"/>
              <w:rPr>
                <w:rFonts w:cstheme="minorHAnsi"/>
                <w:color w:val="000000" w:themeColor="text1"/>
              </w:rPr>
            </w:pPr>
            <w:r w:rsidRPr="00B74F94">
              <w:rPr>
                <w:rFonts w:cstheme="minorHAnsi"/>
                <w:color w:val="000000" w:themeColor="text1"/>
              </w:rPr>
              <w:t>Clinical skills:</w:t>
            </w:r>
          </w:p>
          <w:p w:rsidR="000A3447" w:rsidP="007406A4" w:rsidRDefault="000A3447" w14:paraId="117D773C" w14:textId="77777777">
            <w:pPr>
              <w:pStyle w:val="ListParagraph"/>
              <w:numPr>
                <w:ilvl w:val="0"/>
                <w:numId w:val="15"/>
              </w:numPr>
              <w:jc w:val="both"/>
              <w:rPr>
                <w:rFonts w:cstheme="minorHAnsi"/>
                <w:color w:val="000000" w:themeColor="text1"/>
              </w:rPr>
            </w:pPr>
            <w:r w:rsidRPr="00B74F94">
              <w:rPr>
                <w:rFonts w:cstheme="minorHAnsi"/>
                <w:color w:val="000000" w:themeColor="text1"/>
              </w:rPr>
              <w:t>Clinical management of pre-eclampsia during and after pregnancy</w:t>
            </w:r>
          </w:p>
          <w:p w:rsidRPr="005D266C" w:rsidR="000A3447" w:rsidP="007406A4" w:rsidRDefault="000A3447" w14:paraId="1553F471" w14:textId="484E52F0">
            <w:pPr>
              <w:pStyle w:val="ListParagraph"/>
              <w:numPr>
                <w:ilvl w:val="0"/>
                <w:numId w:val="15"/>
              </w:numPr>
              <w:jc w:val="both"/>
              <w:rPr>
                <w:rFonts w:cstheme="minorHAnsi"/>
                <w:color w:val="000000" w:themeColor="text1"/>
              </w:rPr>
            </w:pPr>
            <w:r>
              <w:rPr>
                <w:rFonts w:cstheme="minorHAnsi"/>
                <w:color w:val="000000" w:themeColor="text1"/>
              </w:rPr>
              <w:t xml:space="preserve">Non-invasive assessment of cardiovascular health </w:t>
            </w:r>
          </w:p>
          <w:p w:rsidRPr="00B74F94" w:rsidR="000A3447" w:rsidP="000A3447" w:rsidRDefault="000A3447" w14:paraId="50D55D01" w14:textId="77777777">
            <w:pPr>
              <w:contextualSpacing/>
              <w:jc w:val="both"/>
              <w:rPr>
                <w:rFonts w:cstheme="minorHAnsi"/>
                <w:color w:val="000000" w:themeColor="text1"/>
              </w:rPr>
            </w:pPr>
          </w:p>
          <w:p w:rsidRPr="00B74F94" w:rsidR="000A3447" w:rsidP="000A3447" w:rsidRDefault="000A3447" w14:paraId="245DD3EB" w14:textId="77777777">
            <w:pPr>
              <w:contextualSpacing/>
              <w:jc w:val="both"/>
              <w:rPr>
                <w:rFonts w:cstheme="minorHAnsi"/>
                <w:color w:val="000000" w:themeColor="text1"/>
              </w:rPr>
            </w:pPr>
            <w:r w:rsidRPr="00B74F94">
              <w:rPr>
                <w:rFonts w:cstheme="minorHAnsi"/>
                <w:color w:val="000000" w:themeColor="text1"/>
              </w:rPr>
              <w:t>Collaboration:</w:t>
            </w:r>
          </w:p>
          <w:p w:rsidRPr="007406A4" w:rsidR="000A3447" w:rsidP="007406A4" w:rsidRDefault="000A3447" w14:paraId="0F5E4640" w14:textId="11C09026">
            <w:pPr>
              <w:pStyle w:val="ListParagraph"/>
              <w:numPr>
                <w:ilvl w:val="0"/>
                <w:numId w:val="15"/>
              </w:numPr>
              <w:jc w:val="both"/>
              <w:rPr>
                <w:rFonts w:cstheme="minorHAnsi"/>
                <w:color w:val="000000" w:themeColor="text1"/>
              </w:rPr>
            </w:pPr>
            <w:r>
              <w:rPr>
                <w:rStyle w:val="apple-converted-space"/>
                <w:color w:val="212121"/>
              </w:rPr>
              <w:t>V</w:t>
            </w:r>
            <w:r>
              <w:rPr>
                <w:rFonts w:ascii="Aptos" w:hAnsi="Aptos"/>
                <w:color w:val="0D0D0D"/>
                <w:shd w:val="clear" w:color="auto" w:fill="FFFFFF"/>
              </w:rPr>
              <w:t>aluable exposure t</w:t>
            </w:r>
            <w:r w:rsidR="003A237F">
              <w:rPr>
                <w:rFonts w:ascii="Aptos" w:hAnsi="Aptos"/>
                <w:color w:val="0D0D0D"/>
                <w:shd w:val="clear" w:color="auto" w:fill="FFFFFF"/>
              </w:rPr>
              <w:t>o</w:t>
            </w:r>
            <w:r>
              <w:rPr>
                <w:rFonts w:ascii="Aptos" w:hAnsi="Aptos"/>
                <w:color w:val="0D0D0D"/>
                <w:shd w:val="clear" w:color="auto" w:fill="FFFFFF"/>
              </w:rPr>
              <w:t xml:space="preserve"> clinical academic career pathways</w:t>
            </w:r>
            <w:r>
              <w:rPr>
                <w:rStyle w:val="apple-converted-space"/>
                <w:rFonts w:ascii="Aptos" w:hAnsi="Aptos"/>
                <w:color w:val="0D0D0D"/>
                <w:shd w:val="clear" w:color="auto" w:fill="FFFFFF"/>
              </w:rPr>
              <w:t> </w:t>
            </w:r>
            <w:r w:rsidRPr="00B74F94">
              <w:rPr>
                <w:rFonts w:cstheme="minorHAnsi"/>
                <w:color w:val="000000" w:themeColor="text1"/>
                <w:shd w:val="clear" w:color="auto" w:fill="FFFFFF"/>
              </w:rPr>
              <w:t>within midwifery and matern</w:t>
            </w:r>
            <w:r w:rsidR="00002640">
              <w:rPr>
                <w:rFonts w:cstheme="minorHAnsi"/>
                <w:color w:val="000000" w:themeColor="text1"/>
                <w:shd w:val="clear" w:color="auto" w:fill="FFFFFF"/>
              </w:rPr>
              <w:t>ity</w:t>
            </w:r>
            <w:r w:rsidRPr="00B74F94">
              <w:rPr>
                <w:rFonts w:cstheme="minorHAnsi"/>
                <w:color w:val="000000" w:themeColor="text1"/>
                <w:shd w:val="clear" w:color="auto" w:fill="FFFFFF"/>
              </w:rPr>
              <w:t xml:space="preserve"> healthcare</w:t>
            </w:r>
          </w:p>
          <w:p w:rsidR="000A3447" w:rsidP="000A3447" w:rsidRDefault="000A3447" w14:paraId="26F33D9B" w14:textId="77777777">
            <w:pPr>
              <w:jc w:val="both"/>
              <w:rPr>
                <w:color w:val="000000" w:themeColor="text1"/>
              </w:rPr>
            </w:pPr>
          </w:p>
          <w:p w:rsidRPr="000A3447" w:rsidR="001E3BDF" w:rsidP="000A3447" w:rsidRDefault="000A3447" w14:paraId="61DF18FA" w14:textId="2EB9BF78">
            <w:pPr>
              <w:jc w:val="both"/>
              <w:rPr>
                <w:color w:val="000000" w:themeColor="text1"/>
              </w:rPr>
            </w:pPr>
            <w:r w:rsidRPr="000A3447">
              <w:rPr>
                <w:color w:val="000000" w:themeColor="text1"/>
              </w:rPr>
              <w:t xml:space="preserve">Completion of </w:t>
            </w:r>
            <w:r w:rsidRPr="000A3447" w:rsidR="00B23939">
              <w:rPr>
                <w:color w:val="000000" w:themeColor="text1"/>
              </w:rPr>
              <w:t>Exposure to clinical research</w:t>
            </w:r>
            <w:r w:rsidRPr="000A3447" w:rsidR="00CA079B">
              <w:rPr>
                <w:color w:val="000000" w:themeColor="text1"/>
              </w:rPr>
              <w:t xml:space="preserve"> design</w:t>
            </w:r>
          </w:p>
          <w:p w:rsidRPr="00AD0D31" w:rsidR="00491719" w:rsidP="007336B6" w:rsidRDefault="00B23939" w14:paraId="3294AD63" w14:textId="1D259374">
            <w:pPr>
              <w:pStyle w:val="ListParagraph"/>
              <w:numPr>
                <w:ilvl w:val="0"/>
                <w:numId w:val="15"/>
              </w:numPr>
              <w:jc w:val="both"/>
              <w:rPr>
                <w:color w:val="000000" w:themeColor="text1"/>
              </w:rPr>
            </w:pPr>
            <w:r w:rsidRPr="001E3BDF">
              <w:rPr>
                <w:color w:val="000000" w:themeColor="text1"/>
              </w:rPr>
              <w:t>Insight into translational cardiovascular and maternal health research within an NSH academic environment.</w:t>
            </w:r>
          </w:p>
        </w:tc>
      </w:tr>
      <w:tr w:rsidR="00E872CB" w:rsidTr="386E89E9"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t>What training and support will be offered to the trainee during the placement?</w:t>
            </w:r>
          </w:p>
        </w:tc>
      </w:tr>
      <w:tr w:rsidR="00174266" w:rsidTr="386E89E9" w14:paraId="3DF67289" w14:textId="77777777">
        <w:tc>
          <w:tcPr>
            <w:tcW w:w="9016" w:type="dxa"/>
            <w:tcMar/>
          </w:tcPr>
          <w:p w:rsidRPr="00B74F94" w:rsidR="00174266" w:rsidP="00174266" w:rsidRDefault="00174266" w14:paraId="74CE86D7" w14:textId="0689FCE9">
            <w:pPr>
              <w:contextualSpacing/>
              <w:jc w:val="both"/>
              <w:rPr>
                <w:rFonts w:cstheme="minorHAnsi"/>
                <w:color w:val="000000" w:themeColor="text1"/>
                <w:shd w:val="clear" w:color="auto" w:fill="FFFFFF"/>
              </w:rPr>
            </w:pPr>
            <w:r w:rsidRPr="00262B61">
              <w:rPr>
                <w:rFonts w:cstheme="minorHAnsi"/>
                <w:color w:val="000000" w:themeColor="text1"/>
              </w:rPr>
              <w:t>The trainee will receive training and support from Jenny Myers (Consultant Obstetrician &amp; Professor in Obstetrics &amp; Maternal Medicine</w:t>
            </w:r>
            <w:r>
              <w:rPr>
                <w:rFonts w:cstheme="minorHAnsi"/>
                <w:color w:val="000000" w:themeColor="text1"/>
              </w:rPr>
              <w:t xml:space="preserve">) </w:t>
            </w:r>
            <w:r w:rsidRPr="00262B61">
              <w:rPr>
                <w:rFonts w:cstheme="minorHAnsi"/>
                <w:color w:val="000000" w:themeColor="text1"/>
              </w:rPr>
              <w:t xml:space="preserve">and Laura Ormesher (Obstetrics &amp; Gynaecology Trainee &amp; Academic Clinical Lecturer). </w:t>
            </w:r>
            <w:r>
              <w:rPr>
                <w:rFonts w:cstheme="minorHAnsi"/>
                <w:color w:val="000000" w:themeColor="text1"/>
              </w:rPr>
              <w:t>They will also be supported by the research midwifery team</w:t>
            </w:r>
            <w:r w:rsidR="00016E24">
              <w:rPr>
                <w:rFonts w:cstheme="minorHAnsi"/>
                <w:color w:val="000000" w:themeColor="text1"/>
              </w:rPr>
              <w:t xml:space="preserve"> and Specialist Hypertension Midwife (Natalie Barry)</w:t>
            </w:r>
            <w:r w:rsidR="00691618">
              <w:rPr>
                <w:rFonts w:cstheme="minorHAnsi"/>
                <w:color w:val="000000" w:themeColor="text1"/>
              </w:rPr>
              <w:t xml:space="preserve">. </w:t>
            </w:r>
            <w:r w:rsidRPr="00B74F94">
              <w:rPr>
                <w:rFonts w:cstheme="minorHAnsi"/>
                <w:color w:val="000000" w:themeColor="text1"/>
              </w:rPr>
              <w:t xml:space="preserve">This will </w:t>
            </w:r>
            <w:r w:rsidRPr="00B74F94">
              <w:rPr>
                <w:rFonts w:cstheme="minorHAnsi"/>
                <w:color w:val="0D0D0D"/>
                <w:shd w:val="clear" w:color="auto" w:fill="FFFFFF"/>
              </w:rPr>
              <w:t xml:space="preserve">provide a rich learning </w:t>
            </w:r>
            <w:r w:rsidRPr="00B74F94">
              <w:rPr>
                <w:rFonts w:cstheme="minorHAnsi"/>
                <w:color w:val="000000" w:themeColor="text1"/>
                <w:shd w:val="clear" w:color="auto" w:fill="FFFFFF"/>
              </w:rPr>
              <w:t xml:space="preserve">experience and exposure to various career pathways within healthcare and academia, along with insight into the broader healthcare system and coordination of care for women with complex medical needs during and after pregnancy. </w:t>
            </w:r>
            <w:r>
              <w:rPr>
                <w:rStyle w:val="apple-converted-space"/>
                <w:rFonts w:ascii="Aptos" w:hAnsi="Aptos"/>
                <w:color w:val="212121"/>
              </w:rPr>
              <w:t> </w:t>
            </w:r>
          </w:p>
          <w:p w:rsidRPr="00B74F94" w:rsidR="00174266" w:rsidP="00174266" w:rsidRDefault="00174266" w14:paraId="3217DDC4" w14:textId="77777777">
            <w:pPr>
              <w:contextualSpacing/>
              <w:jc w:val="both"/>
              <w:rPr>
                <w:rFonts w:cstheme="minorHAnsi"/>
                <w:color w:val="000000" w:themeColor="text1"/>
              </w:rPr>
            </w:pPr>
          </w:p>
          <w:p w:rsidRPr="00793E09" w:rsidR="00174266" w:rsidP="00174266" w:rsidRDefault="00174266" w14:paraId="7F5A1577" w14:textId="6CE3B8C4">
            <w:pPr>
              <w:contextualSpacing/>
              <w:jc w:val="both"/>
              <w:rPr>
                <w:color w:val="000000" w:themeColor="text1"/>
              </w:rPr>
            </w:pPr>
            <w:r w:rsidRPr="00B74F94">
              <w:rPr>
                <w:rFonts w:cstheme="minorHAnsi"/>
                <w:color w:val="000000" w:themeColor="text1"/>
              </w:rPr>
              <w:t xml:space="preserve">The trainee will receive online training on Good Clinical Practice and be supported by the clinical academics and research midwives in gaining patient-facing research skills, including recruitment, data collection </w:t>
            </w:r>
            <w:r>
              <w:rPr>
                <w:rFonts w:cstheme="minorHAnsi"/>
                <w:color w:val="000000" w:themeColor="text1"/>
              </w:rPr>
              <w:t>and analysis</w:t>
            </w:r>
            <w:r w:rsidRPr="00B74F94">
              <w:rPr>
                <w:rFonts w:cstheme="minorHAnsi"/>
                <w:color w:val="000000" w:themeColor="text1"/>
              </w:rPr>
              <w:t>.</w:t>
            </w:r>
          </w:p>
        </w:tc>
      </w:tr>
      <w:tr w:rsidR="00174266" w:rsidTr="386E89E9" w14:paraId="51C480DE" w14:textId="77777777">
        <w:tc>
          <w:tcPr>
            <w:tcW w:w="9016" w:type="dxa"/>
            <w:shd w:val="clear" w:color="auto" w:fill="F2F2F2" w:themeFill="background1" w:themeFillShade="F2"/>
            <w:tcMar/>
          </w:tcPr>
          <w:p w:rsidR="00174266" w:rsidP="00174266" w:rsidRDefault="00174266" w14:paraId="5AA6F2FB" w14:textId="77777777">
            <w:pPr>
              <w:contextualSpacing/>
              <w:jc w:val="both"/>
            </w:pPr>
            <w:r>
              <w:t>Proposed Placement Timeframe:</w:t>
            </w:r>
          </w:p>
        </w:tc>
      </w:tr>
      <w:tr w:rsidR="00174266" w:rsidTr="386E89E9" w14:paraId="197C3A2A" w14:textId="77777777">
        <w:tc>
          <w:tcPr>
            <w:tcW w:w="9016" w:type="dxa"/>
            <w:tcMar/>
          </w:tcPr>
          <w:p w:rsidRPr="00515ECE" w:rsidR="00174266" w:rsidP="00174266" w:rsidRDefault="00515ECE" w14:paraId="01B45D91" w14:textId="3AB4DD64">
            <w:pPr>
              <w:contextualSpacing/>
              <w:jc w:val="both"/>
              <w:rPr>
                <w:color w:val="000000" w:themeColor="text1"/>
              </w:rPr>
            </w:pPr>
            <w:r w:rsidRPr="00515ECE">
              <w:rPr>
                <w:color w:val="000000" w:themeColor="text1"/>
              </w:rPr>
              <w:t>12 weeks</w:t>
            </w:r>
          </w:p>
          <w:p w:rsidR="00174266" w:rsidP="00174266" w:rsidRDefault="00174266" w14:paraId="1472F70C" w14:textId="77777777">
            <w:pPr>
              <w:contextualSpacing/>
              <w:jc w:val="both"/>
            </w:pPr>
          </w:p>
        </w:tc>
      </w:tr>
      <w:tr w:rsidRPr="005E77D7" w:rsidR="00174266" w:rsidTr="386E89E9" w14:paraId="42FF03E2" w14:textId="77777777">
        <w:tc>
          <w:tcPr>
            <w:tcW w:w="9016" w:type="dxa"/>
            <w:shd w:val="clear" w:color="auto" w:fill="F2F2F2" w:themeFill="background1" w:themeFillShade="F2"/>
            <w:tcMar/>
          </w:tcPr>
          <w:p w:rsidRPr="005E77D7" w:rsidR="00174266" w:rsidP="00174266" w:rsidRDefault="00174266"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174266" w:rsidTr="386E89E9" w14:paraId="5E35E5C1" w14:textId="77777777">
        <w:tc>
          <w:tcPr>
            <w:tcW w:w="9016" w:type="dxa"/>
            <w:tcMar/>
          </w:tcPr>
          <w:p w:rsidRPr="00B82D70" w:rsidR="00174266" w:rsidP="00174266" w:rsidRDefault="00B82D70" w14:paraId="750F0643" w14:textId="01D90760">
            <w:pPr>
              <w:spacing/>
              <w:contextualSpacing/>
              <w:jc w:val="both"/>
              <w:rPr>
                <w:color w:val="000000" w:themeColor="text1"/>
              </w:rPr>
            </w:pPr>
            <w:r w:rsidRPr="32475486" w:rsidR="00B82D70">
              <w:rPr>
                <w:color w:val="000000" w:themeColor="text1" w:themeTint="FF" w:themeShade="FF"/>
              </w:rPr>
              <w:t xml:space="preserve">A 12-week block placement would be ideal for this project; </w:t>
            </w:r>
            <w:r w:rsidRPr="32475486" w:rsidR="4E905187">
              <w:rPr>
                <w:color w:val="000000" w:themeColor="text1" w:themeTint="FF" w:themeShade="FF"/>
              </w:rPr>
              <w:t>alternatively,</w:t>
            </w:r>
            <w:r w:rsidRPr="32475486" w:rsidR="00B82D70">
              <w:rPr>
                <w:color w:val="000000" w:themeColor="text1" w:themeTint="FF" w:themeShade="FF"/>
              </w:rPr>
              <w:t xml:space="preserve"> a</w:t>
            </w:r>
            <w:r w:rsidRPr="32475486" w:rsidR="00A00B33">
              <w:rPr>
                <w:color w:val="000000" w:themeColor="text1" w:themeTint="FF" w:themeShade="FF"/>
              </w:rPr>
              <w:t xml:space="preserve"> 1- or 2-day release</w:t>
            </w:r>
            <w:r w:rsidRPr="32475486" w:rsidR="00A45B29">
              <w:rPr>
                <w:color w:val="000000" w:themeColor="text1" w:themeTint="FF" w:themeShade="FF"/>
              </w:rPr>
              <w:t xml:space="preserve"> (Monday / </w:t>
            </w:r>
            <w:r w:rsidRPr="32475486" w:rsidR="00A45B29">
              <w:rPr>
                <w:rFonts w:cs="Calibri" w:cstheme="minorAscii"/>
                <w:color w:val="000000" w:themeColor="text1" w:themeTint="FF" w:themeShade="FF"/>
              </w:rPr>
              <w:t xml:space="preserve">Tuesday </w:t>
            </w:r>
            <w:r w:rsidRPr="32475486" w:rsidR="00A45B29">
              <w:rPr>
                <w:rFonts w:cs="Calibri" w:cstheme="minorAscii"/>
                <w:color w:val="000000" w:themeColor="text1" w:themeTint="FF" w:themeShade="FF"/>
              </w:rPr>
              <w:t>[INSITE clinic days] and</w:t>
            </w:r>
            <w:r w:rsidRPr="32475486" w:rsidR="00B237E9">
              <w:rPr>
                <w:rFonts w:cs="Calibri" w:cstheme="minorAscii"/>
                <w:color w:val="000000" w:themeColor="text1" w:themeTint="FF" w:themeShade="FF"/>
              </w:rPr>
              <w:t>/or</w:t>
            </w:r>
            <w:r w:rsidRPr="32475486" w:rsidR="00A45B29">
              <w:rPr>
                <w:rFonts w:cs="Calibri" w:cstheme="minorAscii"/>
                <w:color w:val="000000" w:themeColor="text1" w:themeTint="FF" w:themeShade="FF"/>
              </w:rPr>
              <w:t xml:space="preserve"> Friday</w:t>
            </w:r>
            <w:r w:rsidRPr="32475486" w:rsidR="00A45B29">
              <w:rPr>
                <w:rFonts w:cs="Calibri" w:cstheme="minorAscii"/>
                <w:color w:val="000000" w:themeColor="text1" w:themeTint="FF" w:themeShade="FF"/>
              </w:rPr>
              <w:t xml:space="preserve"> [</w:t>
            </w:r>
            <w:r w:rsidRPr="32475486" w:rsidR="00A45B29">
              <w:rPr>
                <w:rFonts w:cs="Calibri" w:cstheme="minorAscii"/>
                <w:color w:val="000000" w:themeColor="text1" w:themeTint="FF" w:themeShade="FF"/>
              </w:rPr>
              <w:t>MAViS</w:t>
            </w:r>
            <w:r w:rsidRPr="32475486" w:rsidR="00A45B29">
              <w:rPr>
                <w:rFonts w:cs="Calibri" w:cstheme="minorAscii"/>
                <w:color w:val="000000" w:themeColor="text1" w:themeTint="FF" w:themeShade="FF"/>
              </w:rPr>
              <w:t xml:space="preserve"> clinic day]</w:t>
            </w:r>
            <w:r w:rsidRPr="32475486" w:rsidR="00A45B29">
              <w:rPr>
                <w:rFonts w:cs="Calibri" w:cstheme="minorAscii"/>
                <w:color w:val="000000" w:themeColor="text1" w:themeTint="FF" w:themeShade="FF"/>
              </w:rPr>
              <w:t>)</w:t>
            </w:r>
          </w:p>
          <w:p w:rsidRPr="00CB1EFB" w:rsidR="00174266" w:rsidP="00174266" w:rsidRDefault="00174266" w14:paraId="786F3AF6" w14:textId="77777777">
            <w:pPr>
              <w:contextualSpacing/>
              <w:jc w:val="both"/>
            </w:pPr>
          </w:p>
        </w:tc>
      </w:tr>
      <w:tr w:rsidRPr="00CB1EFB" w:rsidR="00174266" w:rsidTr="386E89E9" w14:paraId="3D2AC600" w14:textId="77777777">
        <w:tc>
          <w:tcPr>
            <w:tcW w:w="9016" w:type="dxa"/>
            <w:shd w:val="clear" w:color="auto" w:fill="F2F2F2" w:themeFill="background1" w:themeFillShade="F2"/>
            <w:tcMar/>
          </w:tcPr>
          <w:p w:rsidRPr="00CB1EFB" w:rsidR="00174266" w:rsidP="00174266" w:rsidRDefault="00174266" w14:paraId="392AE1F2" w14:textId="7E323159">
            <w:pPr>
              <w:contextualSpacing/>
              <w:jc w:val="both"/>
              <w:rPr>
                <w:i/>
                <w:iCs/>
                <w:color w:val="808080" w:themeColor="background1" w:themeShade="80"/>
              </w:rPr>
            </w:pPr>
            <w:r w:rsidRPr="00080C9D">
              <w:t>Proposed Start Date:</w:t>
            </w:r>
          </w:p>
        </w:tc>
      </w:tr>
      <w:tr w:rsidRPr="00CB1EFB" w:rsidR="00174266" w:rsidTr="386E89E9" w14:paraId="4A6A8134" w14:textId="77777777">
        <w:tc>
          <w:tcPr>
            <w:tcW w:w="9016" w:type="dxa"/>
            <w:tcMar/>
          </w:tcPr>
          <w:p w:rsidRPr="00A9726E" w:rsidR="00174266" w:rsidP="00174266" w:rsidRDefault="008C3FD7" w14:paraId="7791E74A" w14:textId="068C9FCA">
            <w:pPr>
              <w:spacing/>
              <w:contextualSpacing/>
              <w:jc w:val="both"/>
              <w:rPr>
                <w:color w:val="000000" w:themeColor="text1"/>
              </w:rPr>
            </w:pPr>
            <w:r w:rsidRPr="386E89E9" w:rsidR="11D45C8B">
              <w:rPr>
                <w:color w:val="000000" w:themeColor="text1" w:themeTint="FF" w:themeShade="FF"/>
              </w:rPr>
              <w:t xml:space="preserve">April </w:t>
            </w:r>
            <w:r w:rsidRPr="386E89E9" w:rsidR="00A9726E">
              <w:rPr>
                <w:color w:val="000000" w:themeColor="text1" w:themeTint="FF" w:themeShade="FF"/>
              </w:rPr>
              <w:t>2026</w:t>
            </w:r>
          </w:p>
          <w:p w:rsidRPr="00CB1EFB" w:rsidR="00174266" w:rsidP="00174266" w:rsidRDefault="00174266" w14:paraId="28C937B2" w14:textId="531B577C">
            <w:pPr>
              <w:contextualSpacing/>
              <w:jc w:val="both"/>
              <w:rPr>
                <w:i/>
                <w:iCs/>
                <w:color w:val="808080" w:themeColor="background1" w:themeShade="80"/>
              </w:rPr>
            </w:pPr>
          </w:p>
        </w:tc>
      </w:tr>
      <w:tr w:rsidRPr="00CB1EFB" w:rsidR="00174266" w:rsidTr="386E89E9" w14:paraId="12CDECA6" w14:textId="77777777">
        <w:tc>
          <w:tcPr>
            <w:tcW w:w="9016" w:type="dxa"/>
            <w:shd w:val="clear" w:color="auto" w:fill="F2F2F2" w:themeFill="background1" w:themeFillShade="F2"/>
            <w:tcMar/>
          </w:tcPr>
          <w:p w:rsidRPr="00491719" w:rsidR="00174266" w:rsidP="00174266" w:rsidRDefault="00174266" w14:paraId="7F203CEB" w14:textId="1EC1B5CB">
            <w:pPr>
              <w:contextualSpacing/>
              <w:jc w:val="both"/>
              <w:rPr>
                <w:color w:val="808080" w:themeColor="background1" w:themeShade="80"/>
              </w:rPr>
            </w:pPr>
            <w:r w:rsidRPr="00491719">
              <w:t>Where will the placement participant be based during the placement?</w:t>
            </w:r>
          </w:p>
        </w:tc>
      </w:tr>
      <w:tr w:rsidRPr="00CB1EFB" w:rsidR="00174266" w:rsidTr="386E89E9" w14:paraId="07559186" w14:textId="77777777">
        <w:tc>
          <w:tcPr>
            <w:tcW w:w="9016" w:type="dxa"/>
            <w:tcMar/>
          </w:tcPr>
          <w:p w:rsidR="00174266" w:rsidP="32475486" w:rsidRDefault="00174266" w14:paraId="14CC93FA" w14:textId="16D75F69">
            <w:pPr>
              <w:spacing/>
              <w:contextualSpacing/>
              <w:jc w:val="both"/>
              <w:rPr>
                <w:color w:val="000000" w:themeColor="text1" w:themeTint="FF" w:themeShade="FF"/>
              </w:rPr>
            </w:pPr>
            <w:r w:rsidRPr="32475486" w:rsidR="00A9726E">
              <w:rPr>
                <w:color w:val="000000" w:themeColor="text1" w:themeTint="FF" w:themeShade="FF"/>
              </w:rPr>
              <w:t>St Mary’s Hospita</w:t>
            </w:r>
            <w:r w:rsidRPr="32475486" w:rsidR="6E1F7CD7">
              <w:rPr>
                <w:color w:val="000000" w:themeColor="text1" w:themeTint="FF" w:themeShade="FF"/>
              </w:rPr>
              <w:t>l</w:t>
            </w:r>
            <w:r w:rsidRPr="32475486" w:rsidR="6537262E">
              <w:rPr>
                <w:color w:val="000000" w:themeColor="text1" w:themeTint="FF" w:themeShade="FF"/>
              </w:rPr>
              <w:t>, MFT</w:t>
            </w:r>
          </w:p>
        </w:tc>
      </w:tr>
    </w:tbl>
    <w:p w:rsidRPr="00491719" w:rsidR="00FC5205" w:rsidP="2B5981F2" w:rsidRDefault="00FC5205" w14:paraId="38F7E228" w14:textId="61F46F4C">
      <w:pPr>
        <w:pStyle w:val="Normal"/>
        <w:spacing/>
        <w:contextualSpacing/>
        <w:jc w:val="both"/>
      </w:pPr>
    </w:p>
    <w:sectPr w:rsidRPr="00491719" w:rsidR="00FC5205" w:rsidSect="001C1B87">
      <w:headerReference w:type="default" r:id="rId1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F2A" w:rsidP="001611A2" w:rsidRDefault="00B81F2A" w14:paraId="7D24F4FD" w14:textId="77777777">
      <w:pPr>
        <w:spacing w:after="0" w:line="240" w:lineRule="auto"/>
      </w:pPr>
      <w:r>
        <w:separator/>
      </w:r>
    </w:p>
  </w:endnote>
  <w:endnote w:type="continuationSeparator" w:id="0">
    <w:p w:rsidR="00B81F2A" w:rsidP="001611A2" w:rsidRDefault="00B81F2A" w14:paraId="219EDE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F2A" w:rsidP="001611A2" w:rsidRDefault="00B81F2A" w14:paraId="4AD3DB12" w14:textId="77777777">
      <w:pPr>
        <w:spacing w:after="0" w:line="240" w:lineRule="auto"/>
      </w:pPr>
      <w:r>
        <w:separator/>
      </w:r>
    </w:p>
  </w:footnote>
  <w:footnote w:type="continuationSeparator" w:id="0">
    <w:p w:rsidR="00B81F2A" w:rsidP="001611A2" w:rsidRDefault="00B81F2A" w14:paraId="4C24CE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597271"/>
    <w:multiLevelType w:val="hybridMultilevel"/>
    <w:tmpl w:val="5F70A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D40577"/>
    <w:multiLevelType w:val="hybridMultilevel"/>
    <w:tmpl w:val="D2AA5E42"/>
    <w:lvl w:ilvl="0" w:tplc="D59408C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6"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065E9"/>
    <w:multiLevelType w:val="hybridMultilevel"/>
    <w:tmpl w:val="C7C45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9"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0"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3"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12"/>
  </w:num>
  <w:num w:numId="2" w16cid:durableId="1103498892">
    <w:abstractNumId w:val="8"/>
  </w:num>
  <w:num w:numId="3" w16cid:durableId="124741351">
    <w:abstractNumId w:val="9"/>
  </w:num>
  <w:num w:numId="4" w16cid:durableId="900554812">
    <w:abstractNumId w:val="14"/>
  </w:num>
  <w:num w:numId="5" w16cid:durableId="1998612920">
    <w:abstractNumId w:val="13"/>
  </w:num>
  <w:num w:numId="6" w16cid:durableId="962539789">
    <w:abstractNumId w:val="6"/>
  </w:num>
  <w:num w:numId="7" w16cid:durableId="1579901221">
    <w:abstractNumId w:val="5"/>
  </w:num>
  <w:num w:numId="8" w16cid:durableId="1164513216">
    <w:abstractNumId w:val="11"/>
  </w:num>
  <w:num w:numId="9" w16cid:durableId="150608329">
    <w:abstractNumId w:val="15"/>
  </w:num>
  <w:num w:numId="10" w16cid:durableId="640883065">
    <w:abstractNumId w:val="0"/>
  </w:num>
  <w:num w:numId="11" w16cid:durableId="1159269420">
    <w:abstractNumId w:val="1"/>
  </w:num>
  <w:num w:numId="12" w16cid:durableId="516651800">
    <w:abstractNumId w:val="10"/>
  </w:num>
  <w:num w:numId="13" w16cid:durableId="1186360646">
    <w:abstractNumId w:val="2"/>
  </w:num>
  <w:num w:numId="14" w16cid:durableId="1548641686">
    <w:abstractNumId w:val="4"/>
  </w:num>
  <w:num w:numId="15" w16cid:durableId="1894081146">
    <w:abstractNumId w:val="3"/>
  </w:num>
  <w:num w:numId="16" w16cid:durableId="525338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02640"/>
    <w:rsid w:val="000109BC"/>
    <w:rsid w:val="00016E24"/>
    <w:rsid w:val="00022815"/>
    <w:rsid w:val="00042C0B"/>
    <w:rsid w:val="000452A7"/>
    <w:rsid w:val="00064809"/>
    <w:rsid w:val="00080C9D"/>
    <w:rsid w:val="0008210F"/>
    <w:rsid w:val="000846FE"/>
    <w:rsid w:val="0008652F"/>
    <w:rsid w:val="00087070"/>
    <w:rsid w:val="000A3447"/>
    <w:rsid w:val="000B3314"/>
    <w:rsid w:val="000F29A6"/>
    <w:rsid w:val="00122460"/>
    <w:rsid w:val="001611A2"/>
    <w:rsid w:val="00163643"/>
    <w:rsid w:val="00174266"/>
    <w:rsid w:val="001B4801"/>
    <w:rsid w:val="001C1B87"/>
    <w:rsid w:val="001C5EFC"/>
    <w:rsid w:val="001C6071"/>
    <w:rsid w:val="001E2840"/>
    <w:rsid w:val="001E3BDF"/>
    <w:rsid w:val="002356E4"/>
    <w:rsid w:val="002364F5"/>
    <w:rsid w:val="00257666"/>
    <w:rsid w:val="00282112"/>
    <w:rsid w:val="00291F43"/>
    <w:rsid w:val="002950B7"/>
    <w:rsid w:val="00297EDF"/>
    <w:rsid w:val="002B57FA"/>
    <w:rsid w:val="002B7DE5"/>
    <w:rsid w:val="002F21EF"/>
    <w:rsid w:val="002F3F9A"/>
    <w:rsid w:val="0033403F"/>
    <w:rsid w:val="0035403C"/>
    <w:rsid w:val="003652B0"/>
    <w:rsid w:val="00377E45"/>
    <w:rsid w:val="00382F98"/>
    <w:rsid w:val="00384ED1"/>
    <w:rsid w:val="003A237F"/>
    <w:rsid w:val="003C03D4"/>
    <w:rsid w:val="003F2ED4"/>
    <w:rsid w:val="003F621D"/>
    <w:rsid w:val="00400419"/>
    <w:rsid w:val="004054F2"/>
    <w:rsid w:val="004079E1"/>
    <w:rsid w:val="00442BA7"/>
    <w:rsid w:val="00466B1F"/>
    <w:rsid w:val="00472E87"/>
    <w:rsid w:val="00481E40"/>
    <w:rsid w:val="00491719"/>
    <w:rsid w:val="004B5D2C"/>
    <w:rsid w:val="004C6000"/>
    <w:rsid w:val="004D3835"/>
    <w:rsid w:val="004F3A9B"/>
    <w:rsid w:val="00513D82"/>
    <w:rsid w:val="00515ECE"/>
    <w:rsid w:val="005372A9"/>
    <w:rsid w:val="00542733"/>
    <w:rsid w:val="005548E8"/>
    <w:rsid w:val="00562F19"/>
    <w:rsid w:val="0056519A"/>
    <w:rsid w:val="00580594"/>
    <w:rsid w:val="005D5FEC"/>
    <w:rsid w:val="005E77D7"/>
    <w:rsid w:val="005F5845"/>
    <w:rsid w:val="005F5FDC"/>
    <w:rsid w:val="006232C6"/>
    <w:rsid w:val="0063237D"/>
    <w:rsid w:val="00643B90"/>
    <w:rsid w:val="006453D2"/>
    <w:rsid w:val="00645FC8"/>
    <w:rsid w:val="0064642A"/>
    <w:rsid w:val="00650D99"/>
    <w:rsid w:val="0066199A"/>
    <w:rsid w:val="00684E1C"/>
    <w:rsid w:val="00685CA1"/>
    <w:rsid w:val="00691618"/>
    <w:rsid w:val="006A4793"/>
    <w:rsid w:val="006D7958"/>
    <w:rsid w:val="0070064F"/>
    <w:rsid w:val="007336B6"/>
    <w:rsid w:val="00737E75"/>
    <w:rsid w:val="007406A4"/>
    <w:rsid w:val="007418D2"/>
    <w:rsid w:val="00743EF0"/>
    <w:rsid w:val="007558C5"/>
    <w:rsid w:val="0079130C"/>
    <w:rsid w:val="00793E09"/>
    <w:rsid w:val="007A0A0B"/>
    <w:rsid w:val="007A5705"/>
    <w:rsid w:val="007D2663"/>
    <w:rsid w:val="007D7770"/>
    <w:rsid w:val="0081713E"/>
    <w:rsid w:val="00823119"/>
    <w:rsid w:val="008268A1"/>
    <w:rsid w:val="00881F77"/>
    <w:rsid w:val="008930E4"/>
    <w:rsid w:val="008A24FA"/>
    <w:rsid w:val="008C3519"/>
    <w:rsid w:val="008C3FD7"/>
    <w:rsid w:val="008F298B"/>
    <w:rsid w:val="0091715F"/>
    <w:rsid w:val="00931A0D"/>
    <w:rsid w:val="009361F5"/>
    <w:rsid w:val="009543BA"/>
    <w:rsid w:val="0099141F"/>
    <w:rsid w:val="009B0287"/>
    <w:rsid w:val="009C3237"/>
    <w:rsid w:val="009D423F"/>
    <w:rsid w:val="00A00B33"/>
    <w:rsid w:val="00A07D55"/>
    <w:rsid w:val="00A2340D"/>
    <w:rsid w:val="00A45B29"/>
    <w:rsid w:val="00A50109"/>
    <w:rsid w:val="00A6795C"/>
    <w:rsid w:val="00A71638"/>
    <w:rsid w:val="00A802E4"/>
    <w:rsid w:val="00A9726E"/>
    <w:rsid w:val="00AA0160"/>
    <w:rsid w:val="00AA21C6"/>
    <w:rsid w:val="00AB66B2"/>
    <w:rsid w:val="00AD0D31"/>
    <w:rsid w:val="00AE2C34"/>
    <w:rsid w:val="00B02E2B"/>
    <w:rsid w:val="00B237E9"/>
    <w:rsid w:val="00B23939"/>
    <w:rsid w:val="00B53C92"/>
    <w:rsid w:val="00B55640"/>
    <w:rsid w:val="00B6724F"/>
    <w:rsid w:val="00B6797E"/>
    <w:rsid w:val="00B81F2A"/>
    <w:rsid w:val="00B82D70"/>
    <w:rsid w:val="00BA431E"/>
    <w:rsid w:val="00BC02C6"/>
    <w:rsid w:val="00C33219"/>
    <w:rsid w:val="00C36571"/>
    <w:rsid w:val="00C8435A"/>
    <w:rsid w:val="00C86FEB"/>
    <w:rsid w:val="00C95704"/>
    <w:rsid w:val="00CA079B"/>
    <w:rsid w:val="00CB1EFB"/>
    <w:rsid w:val="00CB568A"/>
    <w:rsid w:val="00D0387B"/>
    <w:rsid w:val="00D241FD"/>
    <w:rsid w:val="00D30654"/>
    <w:rsid w:val="00D47BF8"/>
    <w:rsid w:val="00D652DB"/>
    <w:rsid w:val="00DC3083"/>
    <w:rsid w:val="00DE5DDA"/>
    <w:rsid w:val="00E156EC"/>
    <w:rsid w:val="00E4525F"/>
    <w:rsid w:val="00E872CB"/>
    <w:rsid w:val="00E92623"/>
    <w:rsid w:val="00E9537C"/>
    <w:rsid w:val="00E96410"/>
    <w:rsid w:val="00EB3882"/>
    <w:rsid w:val="00EE5EC1"/>
    <w:rsid w:val="00F47AFF"/>
    <w:rsid w:val="00F70C2E"/>
    <w:rsid w:val="00F732FD"/>
    <w:rsid w:val="00FC5205"/>
    <w:rsid w:val="00FD22AD"/>
    <w:rsid w:val="11D45C8B"/>
    <w:rsid w:val="2B5981F2"/>
    <w:rsid w:val="31AE26B7"/>
    <w:rsid w:val="32475486"/>
    <w:rsid w:val="386E89E9"/>
    <w:rsid w:val="4E905187"/>
    <w:rsid w:val="6537262E"/>
    <w:rsid w:val="6E1F7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character" w:styleId="apple-converted-space" w:customStyle="1">
    <w:name w:val="apple-converted-space"/>
    <w:basedOn w:val="DefaultParagraphFont"/>
    <w:rsid w:val="000A3447"/>
  </w:style>
  <w:style w:type="character" w:styleId="FollowedHyperlink">
    <w:name w:val="FollowedHyperlink"/>
    <w:basedOn w:val="DefaultParagraphFont"/>
    <w:uiPriority w:val="99"/>
    <w:semiHidden/>
    <w:unhideWhenUsed/>
    <w:rsid w:val="00D30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enny.myers@manchester.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Laura.ormesher@manchester.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2225616aae2db3e6a4835e78d8c9ca8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c2089af3def65a8926abef815792303d"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F9139BBD-3B93-4790-81EB-AE32E6958B13}"/>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332710db-8f46-443d-8bef-3d4b379f6ba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77</revision>
  <dcterms:created xsi:type="dcterms:W3CDTF">2024-05-24T14:33:00.0000000Z</dcterms:created>
  <dcterms:modified xsi:type="dcterms:W3CDTF">2025-10-27T10:54:42.2361479Z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