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333F" w14:textId="0358617C" w:rsidR="0008210F" w:rsidRPr="005E77D7" w:rsidRDefault="0008210F" w:rsidP="005E77D7">
      <w:pPr>
        <w:contextualSpacing/>
        <w:jc w:val="center"/>
        <w:rPr>
          <w:b/>
          <w:bCs/>
        </w:rPr>
      </w:pPr>
      <w:r w:rsidRPr="005E77D7">
        <w:rPr>
          <w:b/>
          <w:bCs/>
        </w:rPr>
        <w:t>NIHR BRC Healthcare Professional Placement Scheme – Project Proposal</w:t>
      </w:r>
      <w:r w:rsidR="001C5EFC">
        <w:rPr>
          <w:b/>
          <w:bCs/>
        </w:rPr>
        <w:t xml:space="preserve"> Form</w:t>
      </w:r>
    </w:p>
    <w:p w14:paraId="0FF2ABAF" w14:textId="77777777" w:rsidR="0008210F" w:rsidRDefault="0008210F" w:rsidP="00513D82">
      <w:pPr>
        <w:contextualSpacing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167C8" w14:paraId="1091FF5E" w14:textId="77777777" w:rsidTr="00CB1EFB">
        <w:tc>
          <w:tcPr>
            <w:tcW w:w="2547" w:type="dxa"/>
            <w:shd w:val="clear" w:color="auto" w:fill="F2F2F2" w:themeFill="background1" w:themeFillShade="F2"/>
          </w:tcPr>
          <w:p w14:paraId="79D0C4E8" w14:textId="2CD3BDF2" w:rsidR="00B167C8" w:rsidRPr="00E872CB" w:rsidRDefault="00B167C8" w:rsidP="00B167C8">
            <w:pPr>
              <w:contextualSpacing/>
              <w:jc w:val="both"/>
              <w:rPr>
                <w:b/>
                <w:bCs/>
              </w:rPr>
            </w:pPr>
            <w:r w:rsidRPr="00E872CB">
              <w:rPr>
                <w:b/>
                <w:bCs/>
              </w:rPr>
              <w:t>BRC Cluster:</w:t>
            </w:r>
          </w:p>
        </w:tc>
        <w:tc>
          <w:tcPr>
            <w:tcW w:w="6469" w:type="dxa"/>
          </w:tcPr>
          <w:p w14:paraId="591EE05C" w14:textId="07DF12AC" w:rsidR="00B167C8" w:rsidRDefault="00B167C8" w:rsidP="00B167C8">
            <w:pPr>
              <w:contextualSpacing/>
              <w:jc w:val="both"/>
            </w:pPr>
            <w:r>
              <w:t>Cancer</w:t>
            </w:r>
          </w:p>
        </w:tc>
      </w:tr>
      <w:tr w:rsidR="00B167C8" w14:paraId="644C595D" w14:textId="77777777" w:rsidTr="00CB1EFB">
        <w:tc>
          <w:tcPr>
            <w:tcW w:w="2547" w:type="dxa"/>
            <w:shd w:val="clear" w:color="auto" w:fill="F2F2F2" w:themeFill="background1" w:themeFillShade="F2"/>
          </w:tcPr>
          <w:p w14:paraId="4BFE79BC" w14:textId="53B45B81" w:rsidR="00B167C8" w:rsidRPr="00E872CB" w:rsidRDefault="00B167C8" w:rsidP="00B167C8">
            <w:pPr>
              <w:contextualSpacing/>
              <w:jc w:val="both"/>
              <w:rPr>
                <w:b/>
                <w:bCs/>
              </w:rPr>
            </w:pPr>
            <w:r w:rsidRPr="00E872CB">
              <w:rPr>
                <w:b/>
                <w:bCs/>
              </w:rPr>
              <w:t>BRC Theme:</w:t>
            </w:r>
          </w:p>
        </w:tc>
        <w:tc>
          <w:tcPr>
            <w:tcW w:w="6469" w:type="dxa"/>
          </w:tcPr>
          <w:p w14:paraId="7C911129" w14:textId="13DC0FA7" w:rsidR="00B167C8" w:rsidRDefault="00B167C8" w:rsidP="00B167C8">
            <w:pPr>
              <w:contextualSpacing/>
              <w:jc w:val="both"/>
            </w:pPr>
            <w:r>
              <w:t>Cancer Prevention and Early Detection</w:t>
            </w:r>
          </w:p>
        </w:tc>
      </w:tr>
      <w:tr w:rsidR="0008210F" w14:paraId="0253C1C3" w14:textId="77777777" w:rsidTr="00CB1EFB">
        <w:tc>
          <w:tcPr>
            <w:tcW w:w="2547" w:type="dxa"/>
            <w:shd w:val="clear" w:color="auto" w:fill="F2F2F2" w:themeFill="background1" w:themeFillShade="F2"/>
          </w:tcPr>
          <w:p w14:paraId="600D2E35" w14:textId="5B610B4B" w:rsidR="0008210F" w:rsidRPr="00E872CB" w:rsidRDefault="0008210F" w:rsidP="00513D82">
            <w:pPr>
              <w:contextualSpacing/>
              <w:jc w:val="both"/>
              <w:rPr>
                <w:b/>
                <w:bCs/>
              </w:rPr>
            </w:pPr>
            <w:r w:rsidRPr="00E872CB">
              <w:rPr>
                <w:b/>
                <w:bCs/>
              </w:rPr>
              <w:t>Project Title:</w:t>
            </w:r>
          </w:p>
        </w:tc>
        <w:tc>
          <w:tcPr>
            <w:tcW w:w="6469" w:type="dxa"/>
          </w:tcPr>
          <w:p w14:paraId="74B296E5" w14:textId="5A2D6E96" w:rsidR="00491719" w:rsidRPr="00AC35C9" w:rsidRDefault="00B830E9" w:rsidP="007336B6">
            <w:pPr>
              <w:rPr>
                <w:b/>
                <w:bCs/>
                <w:sz w:val="20"/>
                <w:szCs w:val="20"/>
              </w:rPr>
            </w:pPr>
            <w:r w:rsidRPr="00AC35C9">
              <w:rPr>
                <w:b/>
                <w:bCs/>
                <w:sz w:val="20"/>
                <w:szCs w:val="20"/>
              </w:rPr>
              <w:t>Weight</w:t>
            </w:r>
            <w:r w:rsidR="00E12A94" w:rsidRPr="00AC35C9">
              <w:rPr>
                <w:b/>
                <w:bCs/>
                <w:sz w:val="20"/>
                <w:szCs w:val="20"/>
              </w:rPr>
              <w:t xml:space="preserve"> </w:t>
            </w:r>
            <w:r w:rsidRPr="00AC35C9">
              <w:rPr>
                <w:b/>
                <w:bCs/>
                <w:sz w:val="20"/>
                <w:szCs w:val="20"/>
              </w:rPr>
              <w:t xml:space="preserve">loss/ weight gain prevention intervention research </w:t>
            </w:r>
          </w:p>
        </w:tc>
      </w:tr>
    </w:tbl>
    <w:p w14:paraId="0D1F1DF7" w14:textId="1C7ABA07" w:rsidR="00466B1F" w:rsidRDefault="00466B1F" w:rsidP="00466B1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6A4793" w14:paraId="3A25093C" w14:textId="77777777" w:rsidTr="00DD23AF">
        <w:tc>
          <w:tcPr>
            <w:tcW w:w="9016" w:type="dxa"/>
            <w:gridSpan w:val="2"/>
            <w:shd w:val="clear" w:color="auto" w:fill="F2F2F2" w:themeFill="background1" w:themeFillShade="F2"/>
          </w:tcPr>
          <w:p w14:paraId="68059B55" w14:textId="0BF0659D" w:rsidR="006A4793" w:rsidRPr="00E872CB" w:rsidRDefault="006A4793" w:rsidP="005D076E">
            <w:pPr>
              <w:contextualSpacing/>
              <w:jc w:val="both"/>
              <w:rPr>
                <w:b/>
                <w:bCs/>
              </w:rPr>
            </w:pPr>
            <w:r w:rsidRPr="00E872CB">
              <w:rPr>
                <w:b/>
                <w:bCs/>
              </w:rPr>
              <w:t>Practice Supervisor</w:t>
            </w:r>
          </w:p>
        </w:tc>
      </w:tr>
      <w:tr w:rsidR="00194F36" w14:paraId="1F61F118" w14:textId="77777777" w:rsidTr="005D076E">
        <w:tc>
          <w:tcPr>
            <w:tcW w:w="2547" w:type="dxa"/>
            <w:shd w:val="clear" w:color="auto" w:fill="F2F2F2" w:themeFill="background1" w:themeFillShade="F2"/>
          </w:tcPr>
          <w:p w14:paraId="57F63B28" w14:textId="7C5AE067" w:rsidR="00194F36" w:rsidRDefault="00194F36" w:rsidP="00194F36">
            <w:pPr>
              <w:contextualSpacing/>
              <w:jc w:val="both"/>
            </w:pPr>
            <w:r>
              <w:t>Name:</w:t>
            </w:r>
          </w:p>
        </w:tc>
        <w:tc>
          <w:tcPr>
            <w:tcW w:w="6469" w:type="dxa"/>
          </w:tcPr>
          <w:p w14:paraId="1C485E9A" w14:textId="222E0F30" w:rsidR="00194F36" w:rsidRDefault="009C4BBD" w:rsidP="00194F36">
            <w:pPr>
              <w:contextualSpacing/>
              <w:jc w:val="both"/>
            </w:pPr>
            <w:r>
              <w:t>Prof</w:t>
            </w:r>
            <w:r w:rsidR="00E12A94">
              <w:t xml:space="preserve"> </w:t>
            </w:r>
            <w:r w:rsidR="00194F36">
              <w:t>Michelle Harvie</w:t>
            </w:r>
          </w:p>
        </w:tc>
      </w:tr>
      <w:tr w:rsidR="00194F36" w14:paraId="5E51F84E" w14:textId="77777777" w:rsidTr="005D076E">
        <w:tc>
          <w:tcPr>
            <w:tcW w:w="2547" w:type="dxa"/>
            <w:shd w:val="clear" w:color="auto" w:fill="F2F2F2" w:themeFill="background1" w:themeFillShade="F2"/>
          </w:tcPr>
          <w:p w14:paraId="39E01837" w14:textId="455FBF70" w:rsidR="00194F36" w:rsidRDefault="00194F36" w:rsidP="00194F36">
            <w:pPr>
              <w:contextualSpacing/>
              <w:jc w:val="both"/>
            </w:pPr>
            <w:r>
              <w:t>Base:</w:t>
            </w:r>
          </w:p>
        </w:tc>
        <w:tc>
          <w:tcPr>
            <w:tcW w:w="6469" w:type="dxa"/>
          </w:tcPr>
          <w:p w14:paraId="650DD284" w14:textId="5CF6B3A5" w:rsidR="00194F36" w:rsidRDefault="00194F36" w:rsidP="00194F36">
            <w:pPr>
              <w:contextualSpacing/>
              <w:jc w:val="both"/>
            </w:pPr>
            <w:r>
              <w:t>MFT</w:t>
            </w:r>
          </w:p>
        </w:tc>
      </w:tr>
      <w:tr w:rsidR="00194F36" w14:paraId="18D2E8A9" w14:textId="77777777" w:rsidTr="005D076E">
        <w:tc>
          <w:tcPr>
            <w:tcW w:w="2547" w:type="dxa"/>
            <w:shd w:val="clear" w:color="auto" w:fill="F2F2F2" w:themeFill="background1" w:themeFillShade="F2"/>
          </w:tcPr>
          <w:p w14:paraId="10EC6147" w14:textId="609EC4F7" w:rsidR="00194F36" w:rsidRDefault="00194F36" w:rsidP="00194F36">
            <w:pPr>
              <w:contextualSpacing/>
              <w:jc w:val="both"/>
            </w:pPr>
            <w:r>
              <w:t>Email Address:</w:t>
            </w:r>
          </w:p>
        </w:tc>
        <w:tc>
          <w:tcPr>
            <w:tcW w:w="6469" w:type="dxa"/>
          </w:tcPr>
          <w:p w14:paraId="575CA92C" w14:textId="7F56B7ED" w:rsidR="00194F36" w:rsidRDefault="00194F36" w:rsidP="00194F36">
            <w:pPr>
              <w:contextualSpacing/>
              <w:jc w:val="both"/>
            </w:pPr>
            <w:r>
              <w:t>Michelle.harvie@manchester.ac.uk</w:t>
            </w:r>
          </w:p>
        </w:tc>
      </w:tr>
      <w:tr w:rsidR="00194F36" w14:paraId="3116C06E" w14:textId="77777777" w:rsidTr="00B8416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29FA201" w14:textId="2076F434" w:rsidR="00194F36" w:rsidRPr="00E872CB" w:rsidRDefault="00194F36" w:rsidP="00194F36">
            <w:pPr>
              <w:contextualSpacing/>
              <w:jc w:val="both"/>
              <w:rPr>
                <w:b/>
                <w:bCs/>
              </w:rPr>
            </w:pPr>
            <w:r w:rsidRPr="00E872CB">
              <w:rPr>
                <w:b/>
                <w:bCs/>
              </w:rPr>
              <w:t>Academic Supervisor</w:t>
            </w:r>
          </w:p>
        </w:tc>
      </w:tr>
      <w:tr w:rsidR="00194F36" w14:paraId="60F25E3E" w14:textId="77777777" w:rsidTr="005D076E">
        <w:tc>
          <w:tcPr>
            <w:tcW w:w="2547" w:type="dxa"/>
            <w:shd w:val="clear" w:color="auto" w:fill="F2F2F2" w:themeFill="background1" w:themeFillShade="F2"/>
          </w:tcPr>
          <w:p w14:paraId="45303FCC" w14:textId="06D34F44" w:rsidR="00194F36" w:rsidRDefault="00194F36" w:rsidP="00194F36">
            <w:pPr>
              <w:contextualSpacing/>
              <w:jc w:val="both"/>
            </w:pPr>
            <w:r>
              <w:t>Name:</w:t>
            </w:r>
          </w:p>
        </w:tc>
        <w:tc>
          <w:tcPr>
            <w:tcW w:w="6469" w:type="dxa"/>
          </w:tcPr>
          <w:p w14:paraId="670C6101" w14:textId="1256DC70" w:rsidR="00194F36" w:rsidRDefault="00E12A94" w:rsidP="00194F36">
            <w:pPr>
              <w:contextualSpacing/>
              <w:jc w:val="both"/>
            </w:pPr>
            <w:r>
              <w:t>Prof</w:t>
            </w:r>
            <w:r w:rsidR="00194F36">
              <w:t xml:space="preserve"> Michelle Harvie</w:t>
            </w:r>
          </w:p>
        </w:tc>
      </w:tr>
      <w:tr w:rsidR="00194F36" w14:paraId="0814EFC3" w14:textId="77777777" w:rsidTr="005D076E">
        <w:tc>
          <w:tcPr>
            <w:tcW w:w="2547" w:type="dxa"/>
            <w:shd w:val="clear" w:color="auto" w:fill="F2F2F2" w:themeFill="background1" w:themeFillShade="F2"/>
          </w:tcPr>
          <w:p w14:paraId="0B0B370A" w14:textId="7394A50A" w:rsidR="00194F36" w:rsidRDefault="00194F36" w:rsidP="00194F36">
            <w:pPr>
              <w:contextualSpacing/>
              <w:jc w:val="both"/>
            </w:pPr>
            <w:r>
              <w:t>Base:</w:t>
            </w:r>
          </w:p>
        </w:tc>
        <w:tc>
          <w:tcPr>
            <w:tcW w:w="6469" w:type="dxa"/>
          </w:tcPr>
          <w:p w14:paraId="484B33F4" w14:textId="3550A373" w:rsidR="00194F36" w:rsidRDefault="00194F36" w:rsidP="00194F36">
            <w:pPr>
              <w:contextualSpacing/>
              <w:jc w:val="both"/>
            </w:pPr>
            <w:r>
              <w:t>MFT</w:t>
            </w:r>
          </w:p>
        </w:tc>
      </w:tr>
      <w:tr w:rsidR="00194F36" w:rsidRPr="00737E75" w14:paraId="157FD508" w14:textId="77777777" w:rsidTr="005D076E">
        <w:tc>
          <w:tcPr>
            <w:tcW w:w="2547" w:type="dxa"/>
            <w:shd w:val="clear" w:color="auto" w:fill="F2F2F2" w:themeFill="background1" w:themeFillShade="F2"/>
          </w:tcPr>
          <w:p w14:paraId="5BC3D656" w14:textId="288C5976" w:rsidR="00194F36" w:rsidRDefault="00194F36" w:rsidP="00194F36">
            <w:pPr>
              <w:contextualSpacing/>
              <w:jc w:val="both"/>
            </w:pPr>
            <w:r>
              <w:t>Email Address:</w:t>
            </w:r>
          </w:p>
        </w:tc>
        <w:tc>
          <w:tcPr>
            <w:tcW w:w="6469" w:type="dxa"/>
          </w:tcPr>
          <w:p w14:paraId="030297A2" w14:textId="719B4040" w:rsidR="00194F36" w:rsidRPr="00737E75" w:rsidRDefault="00194F36" w:rsidP="00194F36">
            <w:pPr>
              <w:contextualSpacing/>
              <w:jc w:val="both"/>
            </w:pPr>
            <w:r>
              <w:t>Michelle.harvie@manchester.ac.uk</w:t>
            </w:r>
          </w:p>
        </w:tc>
      </w:tr>
    </w:tbl>
    <w:p w14:paraId="481C200F" w14:textId="36A41E5D" w:rsidR="006A4793" w:rsidRPr="00737E75" w:rsidRDefault="006A4793" w:rsidP="00466B1F">
      <w:pPr>
        <w:rPr>
          <w:b/>
          <w:bCs/>
        </w:rPr>
      </w:pPr>
      <w:r w:rsidRPr="00737E75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4793" w14:paraId="1BB230A6" w14:textId="77777777" w:rsidTr="005D076E">
        <w:tc>
          <w:tcPr>
            <w:tcW w:w="9016" w:type="dxa"/>
            <w:shd w:val="clear" w:color="auto" w:fill="F2F2F2" w:themeFill="background1" w:themeFillShade="F2"/>
          </w:tcPr>
          <w:p w14:paraId="24604134" w14:textId="77777777" w:rsidR="006A4793" w:rsidRDefault="006A4793" w:rsidP="005D076E">
            <w:pPr>
              <w:contextualSpacing/>
              <w:jc w:val="both"/>
            </w:pPr>
            <w:r>
              <w:t>Background and Project Details:</w:t>
            </w:r>
          </w:p>
        </w:tc>
      </w:tr>
      <w:tr w:rsidR="006A4793" w14:paraId="5DB65897" w14:textId="77777777" w:rsidTr="005D076E">
        <w:tc>
          <w:tcPr>
            <w:tcW w:w="9016" w:type="dxa"/>
          </w:tcPr>
          <w:p w14:paraId="669CD765" w14:textId="7753B60B" w:rsidR="00491719" w:rsidRDefault="006D35EF" w:rsidP="006D7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155A">
              <w:rPr>
                <w:rFonts w:ascii="Calibri" w:hAnsi="Calibri" w:cs="Calibri"/>
                <w:sz w:val="24"/>
                <w:szCs w:val="24"/>
              </w:rPr>
              <w:t xml:space="preserve">Obesity and overweight are strong and potentially modifiable risk factors for developing breast cancer in women in the general population and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particularly for </w:t>
            </w:r>
            <w:r w:rsidRPr="0078155A">
              <w:rPr>
                <w:rFonts w:ascii="Calibri" w:hAnsi="Calibri" w:cs="Calibri"/>
                <w:sz w:val="24"/>
                <w:szCs w:val="24"/>
              </w:rPr>
              <w:t>women with familial risk</w:t>
            </w:r>
            <w:r w:rsidR="00716712">
              <w:rPr>
                <w:rFonts w:ascii="Calibri" w:hAnsi="Calibri" w:cs="Calibri"/>
                <w:sz w:val="24"/>
                <w:szCs w:val="24"/>
              </w:rPr>
              <w:t>. We are researching interventions which aim to reduce weight in those with overweight and obesity and prevent adult weight gain in those who are currently a healthy weight.</w:t>
            </w:r>
          </w:p>
          <w:p w14:paraId="7AA7EA48" w14:textId="6F10EB92" w:rsidR="000F224D" w:rsidRDefault="00AE4F24" w:rsidP="006D7958">
            <w:pPr>
              <w:jc w:val="both"/>
            </w:pPr>
            <w:r>
              <w:t xml:space="preserve">This </w:t>
            </w:r>
            <w:r w:rsidR="006B1344">
              <w:t>placement</w:t>
            </w:r>
            <w:r w:rsidR="00E12A94">
              <w:t xml:space="preserve"> </w:t>
            </w:r>
            <w:r w:rsidR="009D1987">
              <w:t xml:space="preserve">will </w:t>
            </w:r>
            <w:r w:rsidR="006C3F86">
              <w:t>involve</w:t>
            </w:r>
            <w:r w:rsidR="001003CE">
              <w:t xml:space="preserve">: </w:t>
            </w:r>
          </w:p>
          <w:p w14:paraId="778213B5" w14:textId="37CAEB9D" w:rsidR="00AE4F24" w:rsidRDefault="001003CE" w:rsidP="006D7958">
            <w:pPr>
              <w:jc w:val="both"/>
            </w:pPr>
            <w:r>
              <w:t xml:space="preserve">A. </w:t>
            </w:r>
            <w:r w:rsidR="000F224D">
              <w:t>E</w:t>
            </w:r>
            <w:r w:rsidR="006C3F86">
              <w:t xml:space="preserve">xperience working as a research dietitian working alongside the research dietitians in the team on the </w:t>
            </w:r>
            <w:r w:rsidR="00F46470" w:rsidRPr="00F46470">
              <w:t>FAMily-based weight loss for breast cancer risk reduction FAM-BCR</w:t>
            </w:r>
            <w:r w:rsidR="00F46470">
              <w:t xml:space="preserve"> trial</w:t>
            </w:r>
            <w:r w:rsidR="00E66EC4">
              <w:t xml:space="preserve">. </w:t>
            </w:r>
            <w:r w:rsidR="00F91579">
              <w:t>Th</w:t>
            </w:r>
            <w:r>
              <w:t>e</w:t>
            </w:r>
            <w:r w:rsidR="00F91579">
              <w:t xml:space="preserve"> </w:t>
            </w:r>
            <w:proofErr w:type="gramStart"/>
            <w:r w:rsidR="00E66EC4">
              <w:t xml:space="preserve">trial </w:t>
            </w:r>
            <w:r w:rsidR="00F91579">
              <w:t xml:space="preserve"> is</w:t>
            </w:r>
            <w:proofErr w:type="gramEnd"/>
            <w:r w:rsidR="00F91579">
              <w:t xml:space="preserve"> testing acceptability and engagement </w:t>
            </w:r>
            <w:r w:rsidR="00E66EC4">
              <w:t xml:space="preserve">to a novel </w:t>
            </w:r>
            <w:r w:rsidR="00E66EC4" w:rsidRPr="006C3F86">
              <w:t>family-based weight loss intervention for weight loss among mothers with overweight or obesity identified at moderate-high risk of breast cancer</w:t>
            </w:r>
            <w:r w:rsidR="00E66EC4">
              <w:t xml:space="preserve"> </w:t>
            </w:r>
            <w:r>
              <w:t>amongst 15-20 women over 3 months</w:t>
            </w:r>
            <w:r w:rsidR="000F224D">
              <w:t xml:space="preserve"> (Running March </w:t>
            </w:r>
            <w:r w:rsidR="00F25B6F">
              <w:t>– October 2026)</w:t>
            </w:r>
          </w:p>
          <w:p w14:paraId="0CE23921" w14:textId="56E6E187" w:rsidR="001003CE" w:rsidRDefault="001003CE" w:rsidP="006D7958">
            <w:pPr>
              <w:jc w:val="both"/>
            </w:pPr>
            <w:r>
              <w:t>B.</w:t>
            </w:r>
            <w:r w:rsidR="00E12A94">
              <w:t xml:space="preserve"> </w:t>
            </w:r>
            <w:r>
              <w:t>Collating</w:t>
            </w:r>
            <w:r w:rsidR="00E12A94">
              <w:t xml:space="preserve"> </w:t>
            </w:r>
            <w:r>
              <w:t>evidence and data to inform a planned grant application to test a weight gain prevention intervention amongst young</w:t>
            </w:r>
            <w:r w:rsidR="00E12A94">
              <w:t xml:space="preserve"> </w:t>
            </w:r>
            <w:r>
              <w:t>women (aged 18 – 40 years)</w:t>
            </w:r>
            <w:r w:rsidR="00E12A94">
              <w:t xml:space="preserve"> </w:t>
            </w:r>
            <w:r>
              <w:t>increased risk of breast cancer who are currently a health weight</w:t>
            </w:r>
            <w:r w:rsidR="00424AE3">
              <w:t xml:space="preserve">. This </w:t>
            </w:r>
            <w:proofErr w:type="gramStart"/>
            <w:r w:rsidR="00424AE3">
              <w:t xml:space="preserve">will </w:t>
            </w:r>
            <w:r w:rsidR="00F25B6F">
              <w:t xml:space="preserve"> build</w:t>
            </w:r>
            <w:proofErr w:type="gramEnd"/>
            <w:r w:rsidR="00F25B6F">
              <w:t xml:space="preserve"> on our previous 6:1 diet </w:t>
            </w:r>
            <w:proofErr w:type="gramStart"/>
            <w:r w:rsidR="00F25B6F">
              <w:t>work</w:t>
            </w:r>
            <w:proofErr w:type="gramEnd"/>
            <w:r w:rsidR="00E12A94">
              <w:t xml:space="preserve"> </w:t>
            </w:r>
            <w:r w:rsidR="00F25B6F">
              <w:t>a</w:t>
            </w:r>
            <w:r w:rsidR="00424AE3">
              <w:t xml:space="preserve"> healthy lifestyle </w:t>
            </w:r>
            <w:r w:rsidR="00F25B6F">
              <w:t>app</w:t>
            </w:r>
            <w:r w:rsidR="00E12A94">
              <w:t xml:space="preserve"> we have previously developed </w:t>
            </w:r>
          </w:p>
        </w:tc>
      </w:tr>
      <w:tr w:rsidR="006A4793" w14:paraId="17B4180B" w14:textId="77777777" w:rsidTr="005D076E">
        <w:tc>
          <w:tcPr>
            <w:tcW w:w="9016" w:type="dxa"/>
            <w:shd w:val="clear" w:color="auto" w:fill="F2F2F2" w:themeFill="background1" w:themeFillShade="F2"/>
          </w:tcPr>
          <w:p w14:paraId="37717C23" w14:textId="77777777" w:rsidR="006A4793" w:rsidRDefault="006A4793" w:rsidP="005D076E">
            <w:pPr>
              <w:contextualSpacing/>
              <w:jc w:val="both"/>
            </w:pPr>
            <w:r>
              <w:t>Potential Outcomes / Impact:</w:t>
            </w:r>
          </w:p>
        </w:tc>
      </w:tr>
      <w:tr w:rsidR="006A4793" w14:paraId="63299B13" w14:textId="77777777" w:rsidTr="005D076E">
        <w:tc>
          <w:tcPr>
            <w:tcW w:w="9016" w:type="dxa"/>
          </w:tcPr>
          <w:p w14:paraId="01314599" w14:textId="77777777" w:rsidR="00491719" w:rsidRDefault="00491719" w:rsidP="007418D2">
            <w:pPr>
              <w:contextualSpacing/>
              <w:jc w:val="both"/>
            </w:pPr>
          </w:p>
          <w:p w14:paraId="5B44800F" w14:textId="2047011D" w:rsidR="001003CE" w:rsidRDefault="007418D2" w:rsidP="007418D2">
            <w:pPr>
              <w:contextualSpacing/>
              <w:jc w:val="both"/>
            </w:pPr>
            <w:r>
              <w:t xml:space="preserve"> </w:t>
            </w:r>
            <w:r w:rsidR="001003CE">
              <w:t>The successful candidate for this placement</w:t>
            </w:r>
            <w:r w:rsidR="00E12A94">
              <w:t xml:space="preserve"> </w:t>
            </w:r>
            <w:r w:rsidR="001003CE">
              <w:t>will be</w:t>
            </w:r>
          </w:p>
          <w:p w14:paraId="2F213829" w14:textId="7F2C5417" w:rsidR="00491719" w:rsidRDefault="001003CE" w:rsidP="004751BC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Part of the research team and publi</w:t>
            </w:r>
            <w:r w:rsidR="004751BC">
              <w:t>c</w:t>
            </w:r>
            <w:r>
              <w:t>ations related</w:t>
            </w:r>
            <w:r w:rsidR="00E12A94">
              <w:t xml:space="preserve"> </w:t>
            </w:r>
            <w:r>
              <w:t xml:space="preserve">to the </w:t>
            </w:r>
            <w:r w:rsidRPr="00F46470">
              <w:t>FAM-BCR</w:t>
            </w:r>
            <w:r>
              <w:t xml:space="preserve"> trial</w:t>
            </w:r>
          </w:p>
          <w:p w14:paraId="60371B7C" w14:textId="1885D6F5" w:rsidR="001003CE" w:rsidRDefault="004751BC" w:rsidP="004751BC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Have a role in shaping a planned</w:t>
            </w:r>
            <w:r w:rsidR="00E12A94">
              <w:t xml:space="preserve"> </w:t>
            </w:r>
            <w:r>
              <w:t xml:space="preserve">external grant </w:t>
            </w:r>
            <w:proofErr w:type="gramStart"/>
            <w:r>
              <w:t>application</w:t>
            </w:r>
            <w:r w:rsidR="00E12A94">
              <w:t>(</w:t>
            </w:r>
            <w:proofErr w:type="gramEnd"/>
            <w:r w:rsidR="00E12A94">
              <w:t xml:space="preserve">NIHR or CRUK or Breast Cancer Now) </w:t>
            </w:r>
            <w:r>
              <w:t xml:space="preserve">to test a weight gain prevention intervention </w:t>
            </w:r>
            <w:r w:rsidR="00E12A94">
              <w:t xml:space="preserve">for high risk </w:t>
            </w:r>
          </w:p>
          <w:p w14:paraId="68BE2F4D" w14:textId="6A26228C" w:rsidR="001003CE" w:rsidRDefault="001003CE" w:rsidP="007418D2">
            <w:pPr>
              <w:contextualSpacing/>
              <w:jc w:val="both"/>
            </w:pPr>
          </w:p>
        </w:tc>
      </w:tr>
      <w:tr w:rsidR="006A4793" w14:paraId="03D7218C" w14:textId="77777777" w:rsidTr="005D076E">
        <w:tc>
          <w:tcPr>
            <w:tcW w:w="9016" w:type="dxa"/>
            <w:shd w:val="clear" w:color="auto" w:fill="F2F2F2" w:themeFill="background1" w:themeFillShade="F2"/>
          </w:tcPr>
          <w:p w14:paraId="0F928A7A" w14:textId="200B84AF" w:rsidR="006A4793" w:rsidRDefault="006A4793" w:rsidP="005D076E">
            <w:pPr>
              <w:contextualSpacing/>
              <w:jc w:val="both"/>
            </w:pPr>
            <w:r>
              <w:t>Who would be suitable for th</w:t>
            </w:r>
            <w:r w:rsidR="00E872CB">
              <w:t>e</w:t>
            </w:r>
            <w:r>
              <w:t xml:space="preserve"> placement?</w:t>
            </w:r>
          </w:p>
        </w:tc>
      </w:tr>
      <w:tr w:rsidR="006A4793" w14:paraId="044EB5F4" w14:textId="77777777" w:rsidTr="005D076E">
        <w:tc>
          <w:tcPr>
            <w:tcW w:w="9016" w:type="dxa"/>
          </w:tcPr>
          <w:p w14:paraId="5EC34A9C" w14:textId="791258B3" w:rsidR="007336B6" w:rsidRPr="00AC35C9" w:rsidRDefault="00457F64" w:rsidP="007336B6">
            <w:pPr>
              <w:jc w:val="both"/>
            </w:pPr>
            <w:r w:rsidRPr="00AC35C9">
              <w:t xml:space="preserve">Dietitian </w:t>
            </w:r>
          </w:p>
          <w:p w14:paraId="5ADDA6A4" w14:textId="6937D342" w:rsidR="00491719" w:rsidRPr="007336B6" w:rsidRDefault="00491719" w:rsidP="00D50BD3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E872CB" w14:paraId="29C7C26C" w14:textId="77777777" w:rsidTr="00E872CB">
        <w:tc>
          <w:tcPr>
            <w:tcW w:w="9016" w:type="dxa"/>
            <w:shd w:val="clear" w:color="auto" w:fill="E7E6E6" w:themeFill="background2"/>
          </w:tcPr>
          <w:p w14:paraId="7153754B" w14:textId="6F4EE7A4" w:rsidR="00E872CB" w:rsidRPr="00E872CB" w:rsidRDefault="00E872CB" w:rsidP="005D076E">
            <w:pPr>
              <w:contextualSpacing/>
              <w:jc w:val="both"/>
              <w:rPr>
                <w:color w:val="808080" w:themeColor="background1" w:themeShade="80"/>
              </w:rPr>
            </w:pPr>
            <w:r w:rsidRPr="00E872CB">
              <w:t>Are there any pre-requisites that are required in advance of the placement?</w:t>
            </w:r>
          </w:p>
        </w:tc>
      </w:tr>
      <w:tr w:rsidR="00E872CB" w14:paraId="3F7366BE" w14:textId="77777777" w:rsidTr="005D076E">
        <w:tc>
          <w:tcPr>
            <w:tcW w:w="9016" w:type="dxa"/>
          </w:tcPr>
          <w:p w14:paraId="63F6F530" w14:textId="77777777" w:rsidR="00D50BD3" w:rsidRPr="00F72A57" w:rsidRDefault="00D50BD3" w:rsidP="00D50BD3">
            <w:pPr>
              <w:contextualSpacing/>
              <w:jc w:val="both"/>
            </w:pPr>
            <w:r w:rsidRPr="00F72A57">
              <w:t>An interest in research</w:t>
            </w:r>
            <w:r>
              <w:t>.</w:t>
            </w:r>
          </w:p>
          <w:p w14:paraId="2662EEE3" w14:textId="1429133F" w:rsidR="007418D2" w:rsidRDefault="00D50BD3" w:rsidP="00D50BD3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  <w:r w:rsidRPr="00F72A57">
              <w:t>Previous masters or research experience would be good but not essential</w:t>
            </w:r>
            <w:r>
              <w:t>.</w:t>
            </w:r>
          </w:p>
          <w:p w14:paraId="46A4E85F" w14:textId="051219AB" w:rsidR="00491719" w:rsidRPr="00CB1EFB" w:rsidRDefault="00491719" w:rsidP="005D076E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E872CB" w14:paraId="2E24D9CA" w14:textId="77777777" w:rsidTr="00E872CB">
        <w:tc>
          <w:tcPr>
            <w:tcW w:w="9016" w:type="dxa"/>
            <w:shd w:val="clear" w:color="auto" w:fill="E7E6E6" w:themeFill="background2"/>
          </w:tcPr>
          <w:p w14:paraId="6757CB73" w14:textId="64C8826D" w:rsidR="00E872CB" w:rsidRPr="00E872CB" w:rsidRDefault="00E872CB" w:rsidP="005D076E">
            <w:pPr>
              <w:contextualSpacing/>
              <w:jc w:val="both"/>
            </w:pPr>
            <w:r w:rsidRPr="00E872CB">
              <w:t>What skills will be developed by the trainee during the placement?</w:t>
            </w:r>
          </w:p>
        </w:tc>
      </w:tr>
      <w:tr w:rsidR="00E872CB" w14:paraId="0CCC70AE" w14:textId="77777777" w:rsidTr="005D076E">
        <w:tc>
          <w:tcPr>
            <w:tcW w:w="9016" w:type="dxa"/>
          </w:tcPr>
          <w:p w14:paraId="0756EDCE" w14:textId="7A2DA17B" w:rsidR="00C64CE2" w:rsidRPr="00F72A57" w:rsidRDefault="00C64CE2" w:rsidP="00C64CE2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F72A57">
              <w:t xml:space="preserve">Knowledge of </w:t>
            </w:r>
            <w:r>
              <w:t>weight control and weight gain prevent</w:t>
            </w:r>
            <w:r w:rsidR="005078E7">
              <w:t>ion interventions</w:t>
            </w:r>
          </w:p>
          <w:p w14:paraId="2CEDA279" w14:textId="77777777" w:rsidR="00C64CE2" w:rsidRPr="00F72A57" w:rsidRDefault="00C64CE2" w:rsidP="00C64CE2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F72A57">
              <w:t>Day to day running of a dietetic trial</w:t>
            </w:r>
          </w:p>
          <w:p w14:paraId="337EBCFF" w14:textId="77777777" w:rsidR="00C64CE2" w:rsidRPr="00F72A57" w:rsidRDefault="00C64CE2" w:rsidP="00C64CE2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F72A57">
              <w:t>Understanding of the research process of conduction trials in the NHS</w:t>
            </w:r>
          </w:p>
          <w:p w14:paraId="20254F97" w14:textId="2C6C3562" w:rsidR="00C64CE2" w:rsidRPr="00F72A57" w:rsidRDefault="00C64CE2" w:rsidP="00C64CE2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F72A57">
              <w:lastRenderedPageBreak/>
              <w:t>Diet analysis and data collection, and research databases</w:t>
            </w:r>
            <w:r>
              <w:t xml:space="preserve"> </w:t>
            </w:r>
            <w:r w:rsidR="005078E7">
              <w:t>(Qualtrics)</w:t>
            </w:r>
            <w:r w:rsidRPr="00F72A57">
              <w:t xml:space="preserve"> </w:t>
            </w:r>
          </w:p>
          <w:p w14:paraId="526B1C3C" w14:textId="77777777" w:rsidR="00C64CE2" w:rsidRPr="00F72A57" w:rsidRDefault="00C64CE2" w:rsidP="00C64CE2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F72A57">
              <w:t>Patient public involvement and attending trial management meetings</w:t>
            </w:r>
          </w:p>
          <w:p w14:paraId="72271577" w14:textId="77777777" w:rsidR="00C64CE2" w:rsidRPr="00F72A57" w:rsidRDefault="00C64CE2" w:rsidP="00E12A94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F72A57">
              <w:t>Opportunity to help with data analysis and writing up of trial</w:t>
            </w:r>
          </w:p>
          <w:p w14:paraId="57E1B5DD" w14:textId="77777777" w:rsidR="00491719" w:rsidRPr="00626D8F" w:rsidRDefault="00C64CE2" w:rsidP="00E12A94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626D8F">
              <w:t xml:space="preserve">Knowledge of good clinical practice </w:t>
            </w:r>
          </w:p>
          <w:p w14:paraId="0A0A40FC" w14:textId="775B7B5C" w:rsidR="00DA467E" w:rsidRPr="00626D8F" w:rsidRDefault="005078E7" w:rsidP="00E12A94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626D8F">
              <w:t>Literature</w:t>
            </w:r>
            <w:r w:rsidR="00E12A94" w:rsidRPr="00626D8F">
              <w:t xml:space="preserve"> </w:t>
            </w:r>
            <w:r w:rsidRPr="00626D8F">
              <w:t xml:space="preserve">searching </w:t>
            </w:r>
          </w:p>
          <w:p w14:paraId="49F045B9" w14:textId="77777777" w:rsidR="00DA467E" w:rsidRPr="00AC35C9" w:rsidRDefault="00DA467E" w:rsidP="00E12A94">
            <w:pPr>
              <w:pStyle w:val="ListParagraph"/>
              <w:numPr>
                <w:ilvl w:val="0"/>
                <w:numId w:val="15"/>
              </w:numPr>
              <w:jc w:val="both"/>
              <w:rPr>
                <w:i/>
                <w:iCs/>
                <w:color w:val="808080" w:themeColor="background1" w:themeShade="80"/>
              </w:rPr>
            </w:pPr>
            <w:r w:rsidRPr="00626D8F">
              <w:t>A</w:t>
            </w:r>
            <w:r w:rsidR="007A6E08" w:rsidRPr="00626D8F">
              <w:t>n</w:t>
            </w:r>
            <w:r w:rsidRPr="00626D8F">
              <w:t xml:space="preserve"> introduction to </w:t>
            </w:r>
            <w:r w:rsidR="007A6E08" w:rsidRPr="00626D8F">
              <w:t>the process of grant applications for</w:t>
            </w:r>
            <w:r w:rsidR="00E12A94" w:rsidRPr="00626D8F">
              <w:t xml:space="preserve"> </w:t>
            </w:r>
            <w:r w:rsidR="007A6E08" w:rsidRPr="00626D8F">
              <w:t>dietetic</w:t>
            </w:r>
            <w:r w:rsidR="00E12A94" w:rsidRPr="00626D8F">
              <w:t xml:space="preserve"> </w:t>
            </w:r>
            <w:r w:rsidR="007A6E08" w:rsidRPr="00626D8F">
              <w:t xml:space="preserve">research </w:t>
            </w:r>
          </w:p>
          <w:p w14:paraId="3294AD63" w14:textId="19A45EF8" w:rsidR="00AC35C9" w:rsidRPr="00E12A94" w:rsidRDefault="00AC35C9" w:rsidP="00AC35C9">
            <w:pPr>
              <w:pStyle w:val="ListParagraph"/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E872CB" w14:paraId="79240CF3" w14:textId="77777777" w:rsidTr="00E872CB">
        <w:tc>
          <w:tcPr>
            <w:tcW w:w="9016" w:type="dxa"/>
            <w:shd w:val="clear" w:color="auto" w:fill="E7E6E6" w:themeFill="background2"/>
          </w:tcPr>
          <w:p w14:paraId="51A9C62A" w14:textId="1B3FBCE5" w:rsidR="00E872CB" w:rsidRPr="00CB1EFB" w:rsidRDefault="00E872CB" w:rsidP="00E872CB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  <w:r w:rsidRPr="00491719">
              <w:lastRenderedPageBreak/>
              <w:t>What training and support will be offered to the trainee during the placement?</w:t>
            </w:r>
          </w:p>
        </w:tc>
      </w:tr>
      <w:tr w:rsidR="00E872CB" w14:paraId="3DF67289" w14:textId="77777777" w:rsidTr="005D076E">
        <w:tc>
          <w:tcPr>
            <w:tcW w:w="9016" w:type="dxa"/>
          </w:tcPr>
          <w:p w14:paraId="656FAB28" w14:textId="6889C944" w:rsidR="008946C0" w:rsidRPr="00F72A57" w:rsidRDefault="008946C0" w:rsidP="008946C0">
            <w:pPr>
              <w:contextualSpacing/>
              <w:jc w:val="both"/>
            </w:pPr>
            <w:r w:rsidRPr="00F72A57">
              <w:t xml:space="preserve">The placement will be based at </w:t>
            </w:r>
            <w:r w:rsidR="00775EFA">
              <w:t>MFT (</w:t>
            </w:r>
            <w:r w:rsidRPr="00F72A57">
              <w:t xml:space="preserve">Wythenshawe </w:t>
            </w:r>
            <w:proofErr w:type="gramStart"/>
            <w:r w:rsidRPr="00F72A57">
              <w:t xml:space="preserve">Hospital </w:t>
            </w:r>
            <w:r w:rsidR="00775EFA">
              <w:t>)</w:t>
            </w:r>
            <w:proofErr w:type="gramEnd"/>
            <w:r w:rsidR="00775EFA">
              <w:t xml:space="preserve"> </w:t>
            </w:r>
            <w:r w:rsidRPr="00F72A57">
              <w:t xml:space="preserve">working alongside the supervisor </w:t>
            </w:r>
            <w:r>
              <w:t>Prof</w:t>
            </w:r>
            <w:r w:rsidR="00E12A94">
              <w:t xml:space="preserve"> </w:t>
            </w:r>
            <w:r w:rsidRPr="00F72A57">
              <w:t>Harvie</w:t>
            </w:r>
            <w:r>
              <w:t xml:space="preserve">, </w:t>
            </w:r>
            <w:r w:rsidRPr="00F72A57">
              <w:t>Cheryl Lombardelli</w:t>
            </w:r>
            <w:r>
              <w:t xml:space="preserve"> and Mai Haiba</w:t>
            </w:r>
            <w:r w:rsidRPr="00F72A57">
              <w:t xml:space="preserve"> research dietitian in the team and other clinical researchers in the family history clinic at MFT.</w:t>
            </w:r>
            <w:r w:rsidR="00E12A94">
              <w:t xml:space="preserve"> </w:t>
            </w:r>
          </w:p>
          <w:p w14:paraId="08060AC8" w14:textId="25BD9492" w:rsidR="008946C0" w:rsidRPr="00F72A57" w:rsidRDefault="008946C0" w:rsidP="00111BFB">
            <w:pPr>
              <w:pStyle w:val="ListParagraph"/>
              <w:numPr>
                <w:ilvl w:val="0"/>
                <w:numId w:val="16"/>
              </w:numPr>
              <w:jc w:val="both"/>
            </w:pPr>
            <w:r w:rsidRPr="00F72A57">
              <w:t xml:space="preserve">Knowledge of </w:t>
            </w:r>
            <w:r>
              <w:t>weight</w:t>
            </w:r>
            <w:r w:rsidR="00E12A94">
              <w:t xml:space="preserve"> </w:t>
            </w:r>
            <w:r w:rsidR="00B67834">
              <w:t>loss and weight gain prevention interventions</w:t>
            </w:r>
          </w:p>
          <w:p w14:paraId="6AD847B0" w14:textId="77777777" w:rsidR="008946C0" w:rsidRPr="00F72A57" w:rsidRDefault="008946C0" w:rsidP="00111BFB">
            <w:pPr>
              <w:pStyle w:val="ListParagraph"/>
              <w:numPr>
                <w:ilvl w:val="0"/>
                <w:numId w:val="16"/>
              </w:numPr>
              <w:jc w:val="both"/>
            </w:pPr>
            <w:r w:rsidRPr="00F72A57">
              <w:t>Research process of conduction trials in the NHS</w:t>
            </w:r>
          </w:p>
          <w:p w14:paraId="06430B26" w14:textId="77777777" w:rsidR="008946C0" w:rsidRPr="00F72A57" w:rsidRDefault="008946C0" w:rsidP="00111BFB">
            <w:pPr>
              <w:pStyle w:val="ListParagraph"/>
              <w:numPr>
                <w:ilvl w:val="0"/>
                <w:numId w:val="16"/>
              </w:numPr>
              <w:jc w:val="both"/>
            </w:pPr>
            <w:r w:rsidRPr="00F72A57">
              <w:t>Patient public involvement</w:t>
            </w:r>
          </w:p>
          <w:p w14:paraId="550F6CF9" w14:textId="36B18EB1" w:rsidR="008946C0" w:rsidRPr="00F72A57" w:rsidRDefault="008946C0" w:rsidP="00111BFB">
            <w:pPr>
              <w:pStyle w:val="ListParagraph"/>
              <w:numPr>
                <w:ilvl w:val="0"/>
                <w:numId w:val="16"/>
              </w:numPr>
              <w:jc w:val="both"/>
            </w:pPr>
            <w:r w:rsidRPr="00F72A57">
              <w:t>Diet analysis and data collection, and research databases</w:t>
            </w:r>
            <w:r>
              <w:t xml:space="preserve"> </w:t>
            </w:r>
            <w:r w:rsidRPr="00F72A57">
              <w:t>(</w:t>
            </w:r>
            <w:proofErr w:type="gramStart"/>
            <w:r w:rsidR="00B67834">
              <w:t xml:space="preserve">Qualtrics </w:t>
            </w:r>
            <w:r w:rsidRPr="00F72A57">
              <w:t>)</w:t>
            </w:r>
            <w:proofErr w:type="gramEnd"/>
            <w:r w:rsidRPr="00F72A57">
              <w:t xml:space="preserve"> </w:t>
            </w:r>
          </w:p>
          <w:p w14:paraId="4BD460D3" w14:textId="2026CAB3" w:rsidR="008946C0" w:rsidRPr="00F72A57" w:rsidRDefault="00B67834" w:rsidP="00111BFB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Literature search</w:t>
            </w:r>
            <w:r w:rsidR="003270CA">
              <w:t>ing</w:t>
            </w:r>
            <w:r w:rsidR="00E12A94">
              <w:t xml:space="preserve"> </w:t>
            </w:r>
            <w:r w:rsidR="003270CA">
              <w:t xml:space="preserve">and </w:t>
            </w:r>
            <w:r w:rsidR="008946C0" w:rsidRPr="00F72A57">
              <w:t>scientific writing</w:t>
            </w:r>
          </w:p>
          <w:p w14:paraId="2D936CB9" w14:textId="77777777" w:rsidR="008946C0" w:rsidRPr="00F72A57" w:rsidRDefault="008946C0" w:rsidP="00111BFB">
            <w:pPr>
              <w:pStyle w:val="ListParagraph"/>
              <w:numPr>
                <w:ilvl w:val="0"/>
                <w:numId w:val="16"/>
              </w:numPr>
              <w:jc w:val="both"/>
            </w:pPr>
            <w:r w:rsidRPr="00F72A57">
              <w:t>Possibility to attend research training events within the BRC / trust and local conferences depending on timings/ availability</w:t>
            </w:r>
            <w:r>
              <w:t>.</w:t>
            </w:r>
          </w:p>
          <w:p w14:paraId="5D24AEA6" w14:textId="77777777" w:rsidR="00377E45" w:rsidRDefault="00377E45" w:rsidP="00E872CB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</w:p>
          <w:p w14:paraId="7F5A1577" w14:textId="77777777" w:rsidR="00491719" w:rsidRPr="00CB1EFB" w:rsidRDefault="00491719" w:rsidP="00E872CB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6A4793" w14:paraId="51C480DE" w14:textId="77777777" w:rsidTr="005D076E">
        <w:tc>
          <w:tcPr>
            <w:tcW w:w="9016" w:type="dxa"/>
            <w:shd w:val="clear" w:color="auto" w:fill="F2F2F2" w:themeFill="background1" w:themeFillShade="F2"/>
          </w:tcPr>
          <w:p w14:paraId="5AA6F2FB" w14:textId="77777777" w:rsidR="006A4793" w:rsidRDefault="006A4793" w:rsidP="005D076E">
            <w:pPr>
              <w:contextualSpacing/>
              <w:jc w:val="both"/>
            </w:pPr>
            <w:r>
              <w:t>Proposed Placement Timeframe:</w:t>
            </w:r>
          </w:p>
        </w:tc>
      </w:tr>
      <w:tr w:rsidR="006A4793" w14:paraId="197C3A2A" w14:textId="77777777" w:rsidTr="005D076E">
        <w:tc>
          <w:tcPr>
            <w:tcW w:w="9016" w:type="dxa"/>
          </w:tcPr>
          <w:p w14:paraId="2BDED7BD" w14:textId="20AA9DA8" w:rsidR="003B4582" w:rsidRPr="00F72A57" w:rsidRDefault="003B4582" w:rsidP="003B4582">
            <w:pPr>
              <w:contextualSpacing/>
              <w:jc w:val="both"/>
            </w:pPr>
            <w:r>
              <w:t xml:space="preserve">Dependent on candidates support out of practice this would likely be </w:t>
            </w:r>
            <w:r w:rsidRPr="00F72A57">
              <w:t xml:space="preserve">1 day </w:t>
            </w:r>
            <w:r>
              <w:t xml:space="preserve">per </w:t>
            </w:r>
            <w:r w:rsidRPr="00F72A57">
              <w:t xml:space="preserve">week </w:t>
            </w:r>
            <w:r>
              <w:t>(</w:t>
            </w:r>
            <w:r w:rsidR="00626D8F">
              <w:t xml:space="preserve">ideally </w:t>
            </w:r>
            <w:r>
              <w:t xml:space="preserve">Tuesday or Wednesday) </w:t>
            </w:r>
            <w:r w:rsidRPr="00F72A57">
              <w:t xml:space="preserve">spread over 30 – 45 weeks. </w:t>
            </w:r>
          </w:p>
          <w:p w14:paraId="1472F70C" w14:textId="77777777" w:rsidR="00491719" w:rsidRDefault="00491719" w:rsidP="005D076E">
            <w:pPr>
              <w:contextualSpacing/>
              <w:jc w:val="both"/>
            </w:pPr>
          </w:p>
        </w:tc>
      </w:tr>
      <w:tr w:rsidR="006A4793" w:rsidRPr="005E77D7" w14:paraId="42FF03E2" w14:textId="77777777" w:rsidTr="005D076E">
        <w:tc>
          <w:tcPr>
            <w:tcW w:w="9016" w:type="dxa"/>
            <w:shd w:val="clear" w:color="auto" w:fill="F2F2F2" w:themeFill="background1" w:themeFillShade="F2"/>
          </w:tcPr>
          <w:p w14:paraId="4DD01694" w14:textId="77777777" w:rsidR="006A4793" w:rsidRPr="005E77D7" w:rsidRDefault="006A4793" w:rsidP="005D076E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  <w:r w:rsidRPr="00CB1EFB">
              <w:t>C</w:t>
            </w:r>
            <w:r>
              <w:t>ould</w:t>
            </w:r>
            <w:r w:rsidRPr="00CB1EFB">
              <w:t xml:space="preserve"> a flexible placement approach be </w:t>
            </w:r>
            <w:r>
              <w:t>supported</w:t>
            </w:r>
            <w:r w:rsidRPr="00CB1EFB">
              <w:t xml:space="preserve"> where required</w:t>
            </w:r>
            <w:r>
              <w:t>?</w:t>
            </w:r>
            <w:r w:rsidRPr="00CB1EFB">
              <w:t xml:space="preserve"> </w:t>
            </w:r>
          </w:p>
        </w:tc>
      </w:tr>
      <w:tr w:rsidR="006A4793" w:rsidRPr="00CB1EFB" w14:paraId="5E35E5C1" w14:textId="77777777" w:rsidTr="005D076E">
        <w:tc>
          <w:tcPr>
            <w:tcW w:w="9016" w:type="dxa"/>
          </w:tcPr>
          <w:p w14:paraId="08582999" w14:textId="71BC4314" w:rsidR="00243DC6" w:rsidRPr="00F72A57" w:rsidRDefault="00243DC6" w:rsidP="00243DC6">
            <w:pPr>
              <w:contextualSpacing/>
              <w:jc w:val="both"/>
            </w:pPr>
            <w:r>
              <w:t>Yes, this can be discussed/negotiated.</w:t>
            </w:r>
            <w:r w:rsidR="00E12A94">
              <w:t xml:space="preserve"> </w:t>
            </w:r>
          </w:p>
          <w:p w14:paraId="786F3AF6" w14:textId="32BA3570" w:rsidR="00491719" w:rsidRPr="00CB1EFB" w:rsidRDefault="00491719" w:rsidP="00243DC6">
            <w:pPr>
              <w:contextualSpacing/>
              <w:jc w:val="both"/>
            </w:pPr>
          </w:p>
        </w:tc>
      </w:tr>
      <w:tr w:rsidR="00080C9D" w:rsidRPr="00CB1EFB" w14:paraId="3D2AC600" w14:textId="77777777" w:rsidTr="00080C9D">
        <w:tc>
          <w:tcPr>
            <w:tcW w:w="9016" w:type="dxa"/>
            <w:shd w:val="clear" w:color="auto" w:fill="F2F2F2" w:themeFill="background1" w:themeFillShade="F2"/>
          </w:tcPr>
          <w:p w14:paraId="392AE1F2" w14:textId="7E323159" w:rsidR="00080C9D" w:rsidRPr="00CB1EFB" w:rsidRDefault="00080C9D" w:rsidP="005D076E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  <w:r w:rsidRPr="00080C9D">
              <w:t>Proposed Start Date:</w:t>
            </w:r>
          </w:p>
        </w:tc>
      </w:tr>
      <w:tr w:rsidR="00080C9D" w:rsidRPr="00CB1EFB" w14:paraId="4A6A8134" w14:textId="77777777" w:rsidTr="005D076E">
        <w:tc>
          <w:tcPr>
            <w:tcW w:w="9016" w:type="dxa"/>
          </w:tcPr>
          <w:p w14:paraId="7D1A92B9" w14:textId="77777777" w:rsidR="00080C9D" w:rsidRDefault="00AC35C9" w:rsidP="005D076E">
            <w:pPr>
              <w:contextualSpacing/>
              <w:jc w:val="both"/>
            </w:pPr>
            <w:r>
              <w:t>April</w:t>
            </w:r>
            <w:r w:rsidR="00243DC6">
              <w:t xml:space="preserve"> 2026</w:t>
            </w:r>
            <w:r w:rsidR="00E12A94">
              <w:t xml:space="preserve"> </w:t>
            </w:r>
          </w:p>
          <w:p w14:paraId="28C937B2" w14:textId="452F8465" w:rsidR="00AC35C9" w:rsidRPr="00CB1EFB" w:rsidRDefault="00AC35C9" w:rsidP="005D076E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491719" w:rsidRPr="00CB1EFB" w14:paraId="12CDECA6" w14:textId="77777777" w:rsidTr="00491719">
        <w:tc>
          <w:tcPr>
            <w:tcW w:w="9016" w:type="dxa"/>
            <w:shd w:val="clear" w:color="auto" w:fill="F2F2F2" w:themeFill="background1" w:themeFillShade="F2"/>
          </w:tcPr>
          <w:p w14:paraId="7F203CEB" w14:textId="1EC1B5CB" w:rsidR="00491719" w:rsidRPr="00491719" w:rsidRDefault="00491719" w:rsidP="005D076E">
            <w:pPr>
              <w:contextualSpacing/>
              <w:jc w:val="both"/>
              <w:rPr>
                <w:color w:val="808080" w:themeColor="background1" w:themeShade="80"/>
              </w:rPr>
            </w:pPr>
            <w:r w:rsidRPr="00491719">
              <w:t>Where will the placement participant be based during the placement?</w:t>
            </w:r>
          </w:p>
        </w:tc>
      </w:tr>
      <w:tr w:rsidR="00491719" w:rsidRPr="00CB1EFB" w14:paraId="07559186" w14:textId="77777777" w:rsidTr="005D076E">
        <w:tc>
          <w:tcPr>
            <w:tcW w:w="9016" w:type="dxa"/>
          </w:tcPr>
          <w:p w14:paraId="73C40AD3" w14:textId="10418F2E" w:rsidR="00111BFB" w:rsidRPr="00F72A57" w:rsidRDefault="00111BFB" w:rsidP="00111BFB">
            <w:pPr>
              <w:contextualSpacing/>
              <w:jc w:val="both"/>
            </w:pPr>
            <w:r w:rsidRPr="00F72A57">
              <w:t xml:space="preserve">The placement will be based at </w:t>
            </w:r>
            <w:r>
              <w:t>MFT (</w:t>
            </w:r>
            <w:r w:rsidRPr="00F72A57">
              <w:t xml:space="preserve">Wythenshawe </w:t>
            </w:r>
            <w:proofErr w:type="gramStart"/>
            <w:r w:rsidRPr="00F72A57">
              <w:t xml:space="preserve">Hospital </w:t>
            </w:r>
            <w:r>
              <w:t>)</w:t>
            </w:r>
            <w:proofErr w:type="gramEnd"/>
            <w:r w:rsidR="0054392A">
              <w:t>,</w:t>
            </w:r>
            <w:r w:rsidR="00E12A94">
              <w:t xml:space="preserve"> </w:t>
            </w:r>
            <w:r>
              <w:t>but</w:t>
            </w:r>
            <w:r w:rsidR="00E12A94">
              <w:t xml:space="preserve"> </w:t>
            </w:r>
            <w:r>
              <w:t xml:space="preserve">there is scope for hybrid working on this project </w:t>
            </w:r>
          </w:p>
          <w:p w14:paraId="14CC93FA" w14:textId="00D3415F" w:rsidR="00491719" w:rsidRDefault="00491719" w:rsidP="005D076E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</w:tbl>
    <w:p w14:paraId="38F7E228" w14:textId="3FAD3FB0" w:rsidR="00FC5205" w:rsidRPr="00491719" w:rsidRDefault="00FC5205" w:rsidP="00491719">
      <w:pPr>
        <w:contextualSpacing/>
        <w:jc w:val="both"/>
      </w:pPr>
    </w:p>
    <w:sectPr w:rsidR="00FC5205" w:rsidRPr="00491719" w:rsidSect="001C1B87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62DE" w14:textId="77777777" w:rsidR="009E7A77" w:rsidRDefault="009E7A77" w:rsidP="001611A2">
      <w:pPr>
        <w:spacing w:after="0" w:line="240" w:lineRule="auto"/>
      </w:pPr>
      <w:r>
        <w:separator/>
      </w:r>
    </w:p>
  </w:endnote>
  <w:endnote w:type="continuationSeparator" w:id="0">
    <w:p w14:paraId="5D1A481D" w14:textId="77777777" w:rsidR="009E7A77" w:rsidRDefault="009E7A77" w:rsidP="0016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A2AFE" w14:textId="77777777" w:rsidR="009E7A77" w:rsidRDefault="009E7A77" w:rsidP="001611A2">
      <w:pPr>
        <w:spacing w:after="0" w:line="240" w:lineRule="auto"/>
      </w:pPr>
      <w:r>
        <w:separator/>
      </w:r>
    </w:p>
  </w:footnote>
  <w:footnote w:type="continuationSeparator" w:id="0">
    <w:p w14:paraId="51742DA3" w14:textId="77777777" w:rsidR="009E7A77" w:rsidRDefault="009E7A77" w:rsidP="0016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539B" w14:textId="3B012458" w:rsidR="001611A2" w:rsidRPr="001611A2" w:rsidRDefault="001611A2" w:rsidP="001611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DC0F93" wp14:editId="173A7885">
          <wp:simplePos x="0" y="0"/>
          <wp:positionH relativeFrom="column">
            <wp:posOffset>4409440</wp:posOffset>
          </wp:positionH>
          <wp:positionV relativeFrom="paragraph">
            <wp:posOffset>-187325</wp:posOffset>
          </wp:positionV>
          <wp:extent cx="1973580" cy="357505"/>
          <wp:effectExtent l="0" t="0" r="7620" b="4445"/>
          <wp:wrapThrough wrapText="bothSides">
            <wp:wrapPolygon edited="0">
              <wp:start x="0" y="0"/>
              <wp:lineTo x="0" y="20718"/>
              <wp:lineTo x="21475" y="20718"/>
              <wp:lineTo x="21475" y="0"/>
              <wp:lineTo x="0" y="0"/>
            </wp:wrapPolygon>
          </wp:wrapThrough>
          <wp:docPr id="1" name="x_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2D48"/>
    <w:multiLevelType w:val="multilevel"/>
    <w:tmpl w:val="C7A0C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B340869"/>
    <w:multiLevelType w:val="multilevel"/>
    <w:tmpl w:val="A316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E67860"/>
    <w:multiLevelType w:val="hybridMultilevel"/>
    <w:tmpl w:val="667C1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00BC"/>
    <w:multiLevelType w:val="hybridMultilevel"/>
    <w:tmpl w:val="9CCCC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634BC"/>
    <w:multiLevelType w:val="hybridMultilevel"/>
    <w:tmpl w:val="772E7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C75B2"/>
    <w:multiLevelType w:val="multilevel"/>
    <w:tmpl w:val="FFD0805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6C0BBE"/>
    <w:multiLevelType w:val="multilevel"/>
    <w:tmpl w:val="4FF0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07917"/>
    <w:multiLevelType w:val="multilevel"/>
    <w:tmpl w:val="CEEE1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cs="Calibri" w:hint="default"/>
        <w:sz w:val="22"/>
      </w:rPr>
    </w:lvl>
  </w:abstractNum>
  <w:abstractNum w:abstractNumId="8" w15:restartNumberingAfterBreak="0">
    <w:nsid w:val="55A57306"/>
    <w:multiLevelType w:val="multilevel"/>
    <w:tmpl w:val="35D6E3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cs="Calibri" w:hint="default"/>
        <w:sz w:val="22"/>
      </w:rPr>
    </w:lvl>
  </w:abstractNum>
  <w:abstractNum w:abstractNumId="9" w15:restartNumberingAfterBreak="0">
    <w:nsid w:val="58630FF6"/>
    <w:multiLevelType w:val="hybridMultilevel"/>
    <w:tmpl w:val="FBCC4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9069E"/>
    <w:multiLevelType w:val="hybridMultilevel"/>
    <w:tmpl w:val="0ABC3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B0DE7"/>
    <w:multiLevelType w:val="hybridMultilevel"/>
    <w:tmpl w:val="29DA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45ABF"/>
    <w:multiLevelType w:val="multilevel"/>
    <w:tmpl w:val="8820B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Calibri" w:hAnsi="Calibri" w:cs="Calibri" w:hint="default"/>
        <w:sz w:val="22"/>
      </w:rPr>
    </w:lvl>
  </w:abstractNum>
  <w:abstractNum w:abstractNumId="13" w15:restartNumberingAfterBreak="0">
    <w:nsid w:val="6B6375D5"/>
    <w:multiLevelType w:val="hybridMultilevel"/>
    <w:tmpl w:val="95DC7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D2D82"/>
    <w:multiLevelType w:val="hybridMultilevel"/>
    <w:tmpl w:val="179E8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27E0C"/>
    <w:multiLevelType w:val="multilevel"/>
    <w:tmpl w:val="D6E6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639833">
    <w:abstractNumId w:val="12"/>
  </w:num>
  <w:num w:numId="2" w16cid:durableId="1103498892">
    <w:abstractNumId w:val="7"/>
  </w:num>
  <w:num w:numId="3" w16cid:durableId="124741351">
    <w:abstractNumId w:val="8"/>
  </w:num>
  <w:num w:numId="4" w16cid:durableId="900554812">
    <w:abstractNumId w:val="14"/>
  </w:num>
  <w:num w:numId="5" w16cid:durableId="1998612920">
    <w:abstractNumId w:val="13"/>
  </w:num>
  <w:num w:numId="6" w16cid:durableId="962539789">
    <w:abstractNumId w:val="6"/>
  </w:num>
  <w:num w:numId="7" w16cid:durableId="1579901221">
    <w:abstractNumId w:val="5"/>
  </w:num>
  <w:num w:numId="8" w16cid:durableId="1164513216">
    <w:abstractNumId w:val="11"/>
  </w:num>
  <w:num w:numId="9" w16cid:durableId="150608329">
    <w:abstractNumId w:val="15"/>
  </w:num>
  <w:num w:numId="10" w16cid:durableId="640883065">
    <w:abstractNumId w:val="0"/>
  </w:num>
  <w:num w:numId="11" w16cid:durableId="1159269420">
    <w:abstractNumId w:val="1"/>
  </w:num>
  <w:num w:numId="12" w16cid:durableId="516651800">
    <w:abstractNumId w:val="10"/>
  </w:num>
  <w:num w:numId="13" w16cid:durableId="1186360646">
    <w:abstractNumId w:val="3"/>
  </w:num>
  <w:num w:numId="14" w16cid:durableId="1035957840">
    <w:abstractNumId w:val="4"/>
  </w:num>
  <w:num w:numId="15" w16cid:durableId="1781679788">
    <w:abstractNumId w:val="2"/>
  </w:num>
  <w:num w:numId="16" w16cid:durableId="1940062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A2"/>
    <w:rsid w:val="00002539"/>
    <w:rsid w:val="00022815"/>
    <w:rsid w:val="000452A7"/>
    <w:rsid w:val="00064809"/>
    <w:rsid w:val="00080C9D"/>
    <w:rsid w:val="0008210F"/>
    <w:rsid w:val="000846FE"/>
    <w:rsid w:val="0008652F"/>
    <w:rsid w:val="000F224D"/>
    <w:rsid w:val="001003CE"/>
    <w:rsid w:val="00111BFB"/>
    <w:rsid w:val="001611A2"/>
    <w:rsid w:val="00163643"/>
    <w:rsid w:val="00194F36"/>
    <w:rsid w:val="001C1B87"/>
    <w:rsid w:val="001C5EFC"/>
    <w:rsid w:val="001E2840"/>
    <w:rsid w:val="002356E4"/>
    <w:rsid w:val="002364F5"/>
    <w:rsid w:val="00243DC6"/>
    <w:rsid w:val="00257666"/>
    <w:rsid w:val="002654F3"/>
    <w:rsid w:val="00291F43"/>
    <w:rsid w:val="002950B7"/>
    <w:rsid w:val="00297EDF"/>
    <w:rsid w:val="002B7DE5"/>
    <w:rsid w:val="002F21EF"/>
    <w:rsid w:val="002F3F9A"/>
    <w:rsid w:val="0030309F"/>
    <w:rsid w:val="003270CA"/>
    <w:rsid w:val="0033403F"/>
    <w:rsid w:val="0035403C"/>
    <w:rsid w:val="00377E45"/>
    <w:rsid w:val="00382F98"/>
    <w:rsid w:val="00384ED1"/>
    <w:rsid w:val="003B4582"/>
    <w:rsid w:val="003C03D4"/>
    <w:rsid w:val="003F2ED4"/>
    <w:rsid w:val="003F621D"/>
    <w:rsid w:val="00400419"/>
    <w:rsid w:val="004079E1"/>
    <w:rsid w:val="00424AE3"/>
    <w:rsid w:val="00442BA7"/>
    <w:rsid w:val="00457F64"/>
    <w:rsid w:val="00466B1F"/>
    <w:rsid w:val="004751BC"/>
    <w:rsid w:val="00481E40"/>
    <w:rsid w:val="00491719"/>
    <w:rsid w:val="004B5D2C"/>
    <w:rsid w:val="004C6000"/>
    <w:rsid w:val="004D3835"/>
    <w:rsid w:val="004E3CF6"/>
    <w:rsid w:val="005078E7"/>
    <w:rsid w:val="00513D82"/>
    <w:rsid w:val="005372A9"/>
    <w:rsid w:val="00542733"/>
    <w:rsid w:val="0054392A"/>
    <w:rsid w:val="00562F19"/>
    <w:rsid w:val="0056519A"/>
    <w:rsid w:val="00580594"/>
    <w:rsid w:val="005E77D7"/>
    <w:rsid w:val="005F5FDC"/>
    <w:rsid w:val="00622774"/>
    <w:rsid w:val="00626D8F"/>
    <w:rsid w:val="0063237D"/>
    <w:rsid w:val="00643B90"/>
    <w:rsid w:val="00645FC8"/>
    <w:rsid w:val="0064642A"/>
    <w:rsid w:val="0066199A"/>
    <w:rsid w:val="00684E1C"/>
    <w:rsid w:val="006A4793"/>
    <w:rsid w:val="006B1344"/>
    <w:rsid w:val="006C3F86"/>
    <w:rsid w:val="006D35EF"/>
    <w:rsid w:val="006D7958"/>
    <w:rsid w:val="0070064F"/>
    <w:rsid w:val="00716712"/>
    <w:rsid w:val="007336B6"/>
    <w:rsid w:val="00737E75"/>
    <w:rsid w:val="007418D2"/>
    <w:rsid w:val="00743EF0"/>
    <w:rsid w:val="007558C5"/>
    <w:rsid w:val="00775EFA"/>
    <w:rsid w:val="0079130C"/>
    <w:rsid w:val="007A0A0B"/>
    <w:rsid w:val="007A6E08"/>
    <w:rsid w:val="007D7770"/>
    <w:rsid w:val="0081713E"/>
    <w:rsid w:val="00823119"/>
    <w:rsid w:val="008930E4"/>
    <w:rsid w:val="008946C0"/>
    <w:rsid w:val="00895D8F"/>
    <w:rsid w:val="0091715F"/>
    <w:rsid w:val="009361F5"/>
    <w:rsid w:val="009543BA"/>
    <w:rsid w:val="0099141F"/>
    <w:rsid w:val="009B0287"/>
    <w:rsid w:val="009C3237"/>
    <w:rsid w:val="009C4BBD"/>
    <w:rsid w:val="009D1987"/>
    <w:rsid w:val="009E7A77"/>
    <w:rsid w:val="00A43A7D"/>
    <w:rsid w:val="00A50109"/>
    <w:rsid w:val="00A6795C"/>
    <w:rsid w:val="00A802E4"/>
    <w:rsid w:val="00AA0160"/>
    <w:rsid w:val="00AA21C6"/>
    <w:rsid w:val="00AB66B2"/>
    <w:rsid w:val="00AC35C9"/>
    <w:rsid w:val="00AE2C34"/>
    <w:rsid w:val="00AE4F24"/>
    <w:rsid w:val="00B02E2B"/>
    <w:rsid w:val="00B167C8"/>
    <w:rsid w:val="00B53C92"/>
    <w:rsid w:val="00B55640"/>
    <w:rsid w:val="00B6724F"/>
    <w:rsid w:val="00B67834"/>
    <w:rsid w:val="00B830E9"/>
    <w:rsid w:val="00BA431E"/>
    <w:rsid w:val="00C33219"/>
    <w:rsid w:val="00C36571"/>
    <w:rsid w:val="00C64CE2"/>
    <w:rsid w:val="00C8435A"/>
    <w:rsid w:val="00C86FEB"/>
    <w:rsid w:val="00C95704"/>
    <w:rsid w:val="00CB1EFB"/>
    <w:rsid w:val="00D0387B"/>
    <w:rsid w:val="00D251B0"/>
    <w:rsid w:val="00D47BF8"/>
    <w:rsid w:val="00D50BD3"/>
    <w:rsid w:val="00D652DB"/>
    <w:rsid w:val="00DA467E"/>
    <w:rsid w:val="00DC3083"/>
    <w:rsid w:val="00DE5DDA"/>
    <w:rsid w:val="00E12A94"/>
    <w:rsid w:val="00E4525F"/>
    <w:rsid w:val="00E66EC4"/>
    <w:rsid w:val="00E872CB"/>
    <w:rsid w:val="00E92623"/>
    <w:rsid w:val="00E9537C"/>
    <w:rsid w:val="00EB3882"/>
    <w:rsid w:val="00EC5715"/>
    <w:rsid w:val="00EE5EC1"/>
    <w:rsid w:val="00F25B6F"/>
    <w:rsid w:val="00F46470"/>
    <w:rsid w:val="00F47AFF"/>
    <w:rsid w:val="00F732FD"/>
    <w:rsid w:val="00F91579"/>
    <w:rsid w:val="00F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85E25"/>
  <w15:chartTrackingRefBased/>
  <w15:docId w15:val="{8D6320D7-09D6-4AF3-B359-8E5457D9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A2"/>
  </w:style>
  <w:style w:type="paragraph" w:styleId="Footer">
    <w:name w:val="footer"/>
    <w:basedOn w:val="Normal"/>
    <w:link w:val="FooterChar"/>
    <w:uiPriority w:val="99"/>
    <w:unhideWhenUsed/>
    <w:rsid w:val="00161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A2"/>
  </w:style>
  <w:style w:type="paragraph" w:customStyle="1" w:styleId="paragraph">
    <w:name w:val="paragraph"/>
    <w:basedOn w:val="Normal"/>
    <w:rsid w:val="0046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66B1F"/>
  </w:style>
  <w:style w:type="character" w:styleId="CommentReference">
    <w:name w:val="annotation reference"/>
    <w:basedOn w:val="DefaultParagraphFont"/>
    <w:uiPriority w:val="99"/>
    <w:semiHidden/>
    <w:unhideWhenUsed/>
    <w:rsid w:val="00466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B1F"/>
    <w:rPr>
      <w:sz w:val="20"/>
      <w:szCs w:val="20"/>
    </w:rPr>
  </w:style>
  <w:style w:type="paragraph" w:styleId="NoSpacing">
    <w:name w:val="No Spacing"/>
    <w:uiPriority w:val="1"/>
    <w:qFormat/>
    <w:rsid w:val="00466B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3D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B0287"/>
    <w:rPr>
      <w:b/>
      <w:bCs/>
    </w:rPr>
  </w:style>
  <w:style w:type="character" w:customStyle="1" w:styleId="eop">
    <w:name w:val="eop"/>
    <w:basedOn w:val="DefaultParagraphFont"/>
    <w:rsid w:val="00643B90"/>
  </w:style>
  <w:style w:type="character" w:styleId="Hyperlink">
    <w:name w:val="Hyperlink"/>
    <w:basedOn w:val="DefaultParagraphFont"/>
    <w:uiPriority w:val="99"/>
    <w:unhideWhenUsed/>
    <w:rsid w:val="000821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1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0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0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43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7E7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42B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2710db-8f46-443d-8bef-3d4b379f6b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08746F10B2A47A65ADF7DE10E5AE6" ma:contentTypeVersion="16" ma:contentTypeDescription="Create a new document." ma:contentTypeScope="" ma:versionID="623d68f28d319d4df09ac9db02d45740">
  <xsd:schema xmlns:xsd="http://www.w3.org/2001/XMLSchema" xmlns:xs="http://www.w3.org/2001/XMLSchema" xmlns:p="http://schemas.microsoft.com/office/2006/metadata/properties" xmlns:ns3="3af8db99-60d8-4215-b431-948a25e298b4" xmlns:ns4="332710db-8f46-443d-8bef-3d4b379f6baa" targetNamespace="http://schemas.microsoft.com/office/2006/metadata/properties" ma:root="true" ma:fieldsID="dc39495477a63d555d5bdaa7ede71cc6" ns3:_="" ns4:_="">
    <xsd:import namespace="3af8db99-60d8-4215-b431-948a25e298b4"/>
    <xsd:import namespace="332710db-8f46-443d-8bef-3d4b379f6b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8db99-60d8-4215-b431-948a25e298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710db-8f46-443d-8bef-3d4b379f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F9AC6-10A9-4394-9007-F40EF413C836}">
  <ds:schemaRefs>
    <ds:schemaRef ds:uri="http://schemas.microsoft.com/office/2006/metadata/properties"/>
    <ds:schemaRef ds:uri="http://schemas.microsoft.com/office/infopath/2007/PartnerControls"/>
    <ds:schemaRef ds:uri="332710db-8f46-443d-8bef-3d4b379f6baa"/>
  </ds:schemaRefs>
</ds:datastoreItem>
</file>

<file path=customXml/itemProps2.xml><?xml version="1.0" encoding="utf-8"?>
<ds:datastoreItem xmlns:ds="http://schemas.openxmlformats.org/officeDocument/2006/customXml" ds:itemID="{3276E04C-877B-4159-BF5C-362F158FB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8db99-60d8-4215-b431-948a25e298b4"/>
    <ds:schemaRef ds:uri="332710db-8f46-443d-8bef-3d4b379f6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55AEE1-6722-4D0D-B565-CB20C1C0FD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Lisa (R0A) Manchester University NHS FT</dc:creator>
  <cp:keywords/>
  <dc:description/>
  <cp:lastModifiedBy>Murray Lisa (R0A) Manchester University NHS FT</cp:lastModifiedBy>
  <cp:revision>41</cp:revision>
  <dcterms:created xsi:type="dcterms:W3CDTF">2025-10-24T15:23:00Z</dcterms:created>
  <dcterms:modified xsi:type="dcterms:W3CDTF">2025-10-27T09:02:00Z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0x0101004FC08746F10B2A47A65ADF7DE10E5AE6</vt:lpwstr>
  </property>
</Properties>
</file>