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7A4BA" w14:textId="77777777" w:rsidR="00813C40" w:rsidRPr="00AD5353" w:rsidRDefault="00813C40" w:rsidP="00813C40">
      <w:pPr>
        <w:tabs>
          <w:tab w:val="left" w:pos="7088"/>
        </w:tabs>
        <w:rPr>
          <w:rFonts w:ascii="Calibri" w:eastAsia="MS Mincho" w:hAnsi="Calibri" w:cs="Calibri"/>
          <w:b/>
          <w:bCs/>
          <w:color w:val="000000"/>
        </w:rPr>
      </w:pPr>
      <w:r w:rsidRPr="00AD5353">
        <w:rPr>
          <w:rFonts w:ascii="Calibri" w:eastAsia="MS Mincho" w:hAnsi="Calibri" w:cs="Calibri"/>
          <w:b/>
          <w:bCs/>
          <w:color w:val="000000"/>
        </w:rPr>
        <w:t xml:space="preserve">NIHR Manchester BRC Overview  </w:t>
      </w:r>
    </w:p>
    <w:p w14:paraId="024735F6"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 xml:space="preserve">Manchester BRC’s </w:t>
      </w:r>
      <w:r w:rsidRPr="00AD5353">
        <w:rPr>
          <w:rFonts w:ascii="Calibri" w:eastAsia="Times New Roman" w:hAnsi="Calibri" w:cs="Calibri"/>
          <w:b/>
          <w:bCs/>
          <w:lang w:eastAsia="en-GB"/>
        </w:rPr>
        <w:t>vision</w:t>
      </w:r>
      <w:r w:rsidRPr="00AD5353">
        <w:rPr>
          <w:rFonts w:ascii="Calibri" w:eastAsia="Times New Roman" w:hAnsi="Calibri" w:cs="Calibri"/>
          <w:lang w:eastAsia="en-GB"/>
        </w:rPr>
        <w:t xml:space="preserve"> is to drive </w:t>
      </w:r>
      <w:r w:rsidRPr="00AD5353">
        <w:rPr>
          <w:rFonts w:ascii="Calibri" w:eastAsia="Times New Roman" w:hAnsi="Calibri" w:cs="Calibri"/>
          <w:b/>
          <w:bCs/>
          <w:lang w:eastAsia="en-GB"/>
        </w:rPr>
        <w:t xml:space="preserve">personalised health and care for all. </w:t>
      </w:r>
      <w:r w:rsidRPr="00AD5353">
        <w:rPr>
          <w:rFonts w:ascii="Calibri" w:eastAsia="Times New Roman" w:hAnsi="Calibri" w:cs="Calibri"/>
          <w:lang w:eastAsia="en-GB"/>
        </w:rPr>
        <w:t>We deliver innovative translational research that addresses important health and care priorities across Greater Manchester, Lancashire and South Cumbria, transforming disease prevention and management, at pace and scale</w:t>
      </w:r>
      <w:r>
        <w:rPr>
          <w:rFonts w:ascii="Calibri" w:eastAsia="Times New Roman" w:hAnsi="Calibri" w:cs="Calibri"/>
          <w:lang w:eastAsia="en-GB"/>
        </w:rPr>
        <w:t xml:space="preserve"> and</w:t>
      </w:r>
      <w:r w:rsidRPr="00AD5353">
        <w:rPr>
          <w:rFonts w:ascii="Calibri" w:eastAsia="Times New Roman" w:hAnsi="Calibri" w:cs="Calibri"/>
          <w:lang w:eastAsia="en-GB"/>
        </w:rPr>
        <w:t xml:space="preserve"> with equity in our integrated, devolved health and care system. Patients, public and practitioners are at the heart of all we do, and we support an inclusive and diverse research workforce with a Team </w:t>
      </w:r>
      <w:r>
        <w:rPr>
          <w:rFonts w:ascii="Calibri" w:eastAsia="Times New Roman" w:hAnsi="Calibri" w:cs="Calibri"/>
          <w:lang w:eastAsia="en-GB"/>
        </w:rPr>
        <w:t>Science/</w:t>
      </w:r>
      <w:r w:rsidRPr="00AD5353">
        <w:rPr>
          <w:rFonts w:ascii="Calibri" w:eastAsia="Times New Roman" w:hAnsi="Calibri" w:cs="Calibri"/>
          <w:lang w:eastAsia="en-GB"/>
        </w:rPr>
        <w:t xml:space="preserve">Research approach. Manchester BRC </w:t>
      </w:r>
      <w:r>
        <w:rPr>
          <w:rFonts w:ascii="Calibri" w:eastAsia="Times New Roman" w:hAnsi="Calibri" w:cs="Calibri"/>
          <w:lang w:eastAsia="en-GB"/>
        </w:rPr>
        <w:t>aims to be</w:t>
      </w:r>
      <w:r w:rsidRPr="00AD5353">
        <w:rPr>
          <w:rFonts w:ascii="Calibri" w:eastAsia="Times New Roman" w:hAnsi="Calibri" w:cs="Calibri"/>
          <w:lang w:eastAsia="en-GB"/>
        </w:rPr>
        <w:t xml:space="preserve"> a national exemplar of how an integrated regional system can deliver innovations that serve the needs of the whole population and be the collaborator of choice for strategic research funders, industry partners and investors</w:t>
      </w:r>
      <w:r w:rsidRPr="00AD5353">
        <w:rPr>
          <w:rFonts w:ascii="Calibri" w:eastAsia="Times New Roman" w:hAnsi="Calibri" w:cs="Calibri"/>
          <w:color w:val="000000"/>
          <w:lang w:eastAsia="en-GB"/>
        </w:rPr>
        <w:t>.</w:t>
      </w:r>
      <w:r w:rsidRPr="00AD5353">
        <w:rPr>
          <w:rFonts w:ascii="Calibri" w:eastAsia="Times New Roman" w:hAnsi="Calibri" w:cs="Calibri"/>
          <w:lang w:eastAsia="en-GB"/>
        </w:rPr>
        <w:t>  </w:t>
      </w:r>
    </w:p>
    <w:p w14:paraId="00EDCF4D"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 </w:t>
      </w:r>
    </w:p>
    <w:p w14:paraId="3E36618A"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NIHR Manchester BRC is hosted by Manchester University NHS Foundation Trust in partnership with The University of Manchester. Additional NHS Partners are:</w:t>
      </w:r>
    </w:p>
    <w:p w14:paraId="4748CE2F" w14:textId="77777777" w:rsidR="00813C40" w:rsidRPr="00AD5353" w:rsidRDefault="00813C40" w:rsidP="00813C40">
      <w:pPr>
        <w:spacing w:after="0" w:line="240" w:lineRule="auto"/>
        <w:textAlignment w:val="baseline"/>
        <w:rPr>
          <w:rFonts w:ascii="Calibri" w:eastAsia="Times New Roman" w:hAnsi="Calibri" w:cs="Calibri"/>
          <w:lang w:eastAsia="en-GB"/>
        </w:rPr>
      </w:pPr>
    </w:p>
    <w:p w14:paraId="4F1AACC0" w14:textId="77777777" w:rsidR="00813C40" w:rsidRPr="00AD5353" w:rsidRDefault="00813C40" w:rsidP="00813C40">
      <w:pPr>
        <w:numPr>
          <w:ilvl w:val="0"/>
          <w:numId w:val="31"/>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lang w:eastAsia="en-GB"/>
        </w:rPr>
        <w:t>Blackpool Teaching Hospitals NHS Foundation Trust</w:t>
      </w:r>
    </w:p>
    <w:p w14:paraId="4D622D1F" w14:textId="77777777" w:rsidR="00813C40" w:rsidRPr="00AD5353" w:rsidRDefault="00813C40" w:rsidP="00813C40">
      <w:pPr>
        <w:numPr>
          <w:ilvl w:val="0"/>
          <w:numId w:val="31"/>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lang w:eastAsia="en-GB"/>
        </w:rPr>
        <w:t>The Christie NHS Foundation Trust</w:t>
      </w:r>
    </w:p>
    <w:p w14:paraId="4A69E344" w14:textId="77777777" w:rsidR="00813C40" w:rsidRPr="00AD5353" w:rsidRDefault="00813C40" w:rsidP="00813C40">
      <w:pPr>
        <w:numPr>
          <w:ilvl w:val="0"/>
          <w:numId w:val="31"/>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lang w:eastAsia="en-GB"/>
        </w:rPr>
        <w:t>Greater Manchester Mental Health NHS Foundation Trust</w:t>
      </w:r>
    </w:p>
    <w:p w14:paraId="5B407BD9" w14:textId="77777777" w:rsidR="00813C40" w:rsidRPr="00AD5353" w:rsidRDefault="00813C40" w:rsidP="00813C40">
      <w:pPr>
        <w:numPr>
          <w:ilvl w:val="0"/>
          <w:numId w:val="31"/>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lang w:eastAsia="en-GB"/>
        </w:rPr>
        <w:t>Lancashire Teaching Hospitals NHS Foundation Trust</w:t>
      </w:r>
    </w:p>
    <w:p w14:paraId="53DC0CFF" w14:textId="77777777" w:rsidR="00813C40" w:rsidRDefault="00813C40" w:rsidP="00813C40">
      <w:pPr>
        <w:numPr>
          <w:ilvl w:val="0"/>
          <w:numId w:val="31"/>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lang w:eastAsia="en-GB"/>
        </w:rPr>
        <w:t>Northern Care Alliance NHS Foundation Trust</w:t>
      </w:r>
    </w:p>
    <w:p w14:paraId="3BEB7252" w14:textId="77777777" w:rsidR="00813C40" w:rsidRDefault="00813C40" w:rsidP="00813C40">
      <w:pPr>
        <w:spacing w:after="0" w:line="240" w:lineRule="auto"/>
        <w:contextualSpacing/>
        <w:textAlignment w:val="baseline"/>
        <w:rPr>
          <w:rFonts w:ascii="Calibri" w:eastAsia="Times New Roman" w:hAnsi="Calibri" w:cs="Calibri"/>
          <w:lang w:eastAsia="en-GB"/>
        </w:rPr>
      </w:pPr>
    </w:p>
    <w:p w14:paraId="528D8BE7"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MFT and UoM work together within Health Innovation Manchester (HInM) and co-Chair the GM NIHR Oversight Board that guarantees a coherent strategy to accelerate research and innovation into improved clinical care</w:t>
      </w:r>
      <w:r>
        <w:rPr>
          <w:rFonts w:ascii="Calibri" w:eastAsia="Times New Roman" w:hAnsi="Calibri" w:cs="Calibri"/>
          <w:lang w:eastAsia="en-GB"/>
        </w:rPr>
        <w:t xml:space="preserve"> across NIHR infrastructure</w:t>
      </w:r>
      <w:r w:rsidRPr="00AD5353">
        <w:rPr>
          <w:rFonts w:ascii="Calibri" w:eastAsia="Times New Roman" w:hAnsi="Calibri" w:cs="Calibri"/>
          <w:b/>
          <w:bCs/>
          <w:lang w:eastAsia="en-GB"/>
        </w:rPr>
        <w:t>.</w:t>
      </w:r>
      <w:r w:rsidRPr="00AD5353">
        <w:rPr>
          <w:rFonts w:ascii="Calibri" w:eastAsia="Times New Roman" w:hAnsi="Calibri" w:cs="Calibri"/>
          <w:lang w:eastAsia="en-GB"/>
        </w:rPr>
        <w:t xml:space="preserve"> </w:t>
      </w:r>
      <w:r w:rsidRPr="00AD5353">
        <w:rPr>
          <w:rFonts w:ascii="Calibri" w:eastAsia="Times New Roman" w:hAnsi="Calibri" w:cs="Calibri"/>
          <w:color w:val="000000"/>
          <w:shd w:val="clear" w:color="auto" w:fill="FFFFFF"/>
          <w:lang w:eastAsia="en-GB"/>
        </w:rPr>
        <w:t>Our key GM partner Trusts (Northern Care Alliance, Greater Manchester Mental Health and The Christie) play an active role within this infrastructure as part of the ‘One Greater Manchester’ approach. Key clinical research hubs to support our BRC are provided by partner Trusts including GMMH (3</w:t>
      </w:r>
      <w:r w:rsidRPr="00AD5353">
        <w:rPr>
          <w:rFonts w:ascii="Calibri" w:eastAsia="Times New Roman" w:hAnsi="Calibri" w:cs="Calibri"/>
          <w:color w:val="000000"/>
          <w:shd w:val="clear" w:color="auto" w:fill="FFFFFF"/>
          <w:vertAlign w:val="superscript"/>
          <w:lang w:eastAsia="en-GB"/>
        </w:rPr>
        <w:t>rd</w:t>
      </w:r>
      <w:r w:rsidRPr="00AD5353">
        <w:rPr>
          <w:rFonts w:ascii="Calibri" w:eastAsia="Times New Roman" w:hAnsi="Calibri" w:cs="Calibri"/>
          <w:color w:val="000000"/>
          <w:shd w:val="clear" w:color="auto" w:fill="FFFFFF"/>
          <w:lang w:eastAsia="en-GB"/>
        </w:rPr>
        <w:t xml:space="preserve"> highest recruiting mental health Trust in England) and NCA (rheumatology, dermatology and neurosciences and nephrology). In addition, The Christie hosts the new Paterson Institute for Cancer Research (£150m); a dynamic interface for researchers co-located with clinical services. Blackpool and Lancashire Teaching Hospital Foundation Trusts (BTH, LTHTr) further widen this model across our region and provide additional expertise improving access to translational research for diverse populations with high disease burdens and inequities.</w:t>
      </w:r>
      <w:r w:rsidRPr="00AD5353">
        <w:rPr>
          <w:rFonts w:ascii="Calibri" w:eastAsia="Times New Roman" w:hAnsi="Calibri" w:cs="Calibri"/>
          <w:color w:val="000000"/>
          <w:lang w:eastAsia="en-GB"/>
        </w:rPr>
        <w:t>  </w:t>
      </w:r>
    </w:p>
    <w:p w14:paraId="1B3D0E23" w14:textId="77777777" w:rsidR="00813C40" w:rsidRPr="00AD5353" w:rsidRDefault="00813C40" w:rsidP="00813C40">
      <w:pPr>
        <w:spacing w:after="0" w:line="240" w:lineRule="auto"/>
        <w:contextualSpacing/>
        <w:textAlignment w:val="baseline"/>
        <w:rPr>
          <w:rFonts w:ascii="Calibri" w:eastAsia="Times New Roman" w:hAnsi="Calibri" w:cs="Calibri"/>
          <w:lang w:eastAsia="en-GB"/>
        </w:rPr>
      </w:pPr>
    </w:p>
    <w:p w14:paraId="105419CD"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 xml:space="preserve">NIHR Manchester BRC </w:t>
      </w:r>
      <w:r>
        <w:rPr>
          <w:rFonts w:ascii="Calibri" w:eastAsia="Times New Roman" w:hAnsi="Calibri" w:cs="Calibri"/>
          <w:lang w:eastAsia="en-GB"/>
        </w:rPr>
        <w:t xml:space="preserve">is one of twenty BRCs funded </w:t>
      </w:r>
      <w:r w:rsidRPr="00AD5353">
        <w:rPr>
          <w:rFonts w:ascii="Calibri" w:eastAsia="Times New Roman" w:hAnsi="Calibri" w:cs="Calibri"/>
          <w:lang w:eastAsia="en-GB"/>
        </w:rPr>
        <w:t>from 1 December 2022 until 31 March 2028</w:t>
      </w:r>
      <w:r>
        <w:rPr>
          <w:rFonts w:ascii="Calibri" w:eastAsia="Times New Roman" w:hAnsi="Calibri" w:cs="Calibri"/>
          <w:lang w:eastAsia="en-GB"/>
        </w:rPr>
        <w:t xml:space="preserve"> and was awarded </w:t>
      </w:r>
      <w:r w:rsidRPr="00AD5353">
        <w:rPr>
          <w:rFonts w:ascii="Calibri" w:eastAsia="Times New Roman" w:hAnsi="Calibri" w:cs="Calibri"/>
          <w:lang w:eastAsia="en-GB"/>
        </w:rPr>
        <w:t>£64.1million.</w:t>
      </w:r>
      <w:r>
        <w:rPr>
          <w:rFonts w:ascii="Calibri" w:eastAsia="Times New Roman" w:hAnsi="Calibri" w:cs="Calibri"/>
          <w:lang w:eastAsia="en-GB"/>
        </w:rPr>
        <w:t xml:space="preserve"> This is more than double the previous BRC award (£28.5million from 2017-22) and the NIHR Manchester BRC is the largest BRC outside of the South East of England.</w:t>
      </w:r>
    </w:p>
    <w:p w14:paraId="056E9316" w14:textId="77777777" w:rsidR="00813C40" w:rsidRPr="00AD5353" w:rsidRDefault="00813C40" w:rsidP="00813C40">
      <w:pPr>
        <w:spacing w:after="0" w:line="240" w:lineRule="auto"/>
        <w:textAlignment w:val="baseline"/>
        <w:rPr>
          <w:rFonts w:ascii="Calibri" w:eastAsia="Times New Roman" w:hAnsi="Calibri" w:cs="Calibri"/>
          <w:lang w:eastAsia="en-GB"/>
        </w:rPr>
      </w:pPr>
    </w:p>
    <w:p w14:paraId="7E0D5CA6"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 </w:t>
      </w:r>
      <w:r w:rsidRPr="00AD5353">
        <w:rPr>
          <w:rFonts w:ascii="Calibri" w:eastAsia="Times New Roman" w:hAnsi="Calibri" w:cs="Calibri"/>
          <w:b/>
          <w:bCs/>
          <w:lang w:eastAsia="en-GB"/>
        </w:rPr>
        <w:t>NIHR Manchester BRC</w:t>
      </w:r>
      <w:r w:rsidRPr="00AD5353">
        <w:rPr>
          <w:rFonts w:ascii="Calibri" w:eastAsia="Times New Roman" w:hAnsi="Calibri" w:cs="Calibri"/>
          <w:lang w:eastAsia="en-GB"/>
        </w:rPr>
        <w:t xml:space="preserve"> </w:t>
      </w:r>
      <w:r w:rsidRPr="00AD5353">
        <w:rPr>
          <w:rFonts w:ascii="Calibri" w:eastAsia="Times New Roman" w:hAnsi="Calibri" w:cs="Calibri"/>
          <w:b/>
          <w:bCs/>
          <w:lang w:eastAsia="en-GB"/>
        </w:rPr>
        <w:t>Aims</w:t>
      </w:r>
    </w:p>
    <w:p w14:paraId="61A84C35" w14:textId="77777777" w:rsidR="00813C40" w:rsidRPr="00AD5353" w:rsidRDefault="00813C40" w:rsidP="00813C40">
      <w:pPr>
        <w:spacing w:after="0" w:line="240" w:lineRule="auto"/>
        <w:textAlignment w:val="baseline"/>
        <w:rPr>
          <w:rFonts w:ascii="Calibri" w:eastAsia="Times New Roman" w:hAnsi="Calibri" w:cs="Calibri"/>
          <w:lang w:eastAsia="en-GB"/>
        </w:rPr>
      </w:pPr>
    </w:p>
    <w:p w14:paraId="1080697E" w14:textId="77777777" w:rsidR="00813C40" w:rsidRPr="00AD5353" w:rsidRDefault="00813C40" w:rsidP="00813C40">
      <w:pPr>
        <w:numPr>
          <w:ilvl w:val="0"/>
          <w:numId w:val="12"/>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b/>
          <w:bCs/>
          <w:lang w:eastAsia="en-GB"/>
        </w:rPr>
        <w:t>Embed</w:t>
      </w:r>
      <w:r w:rsidRPr="00AD5353">
        <w:rPr>
          <w:rFonts w:ascii="Calibri" w:eastAsia="Times New Roman" w:hAnsi="Calibri" w:cs="Calibri"/>
          <w:lang w:eastAsia="en-GB"/>
        </w:rPr>
        <w:t xml:space="preserve"> early translational research further into our communities and localities in GM, Lancashire and South Cumbria by deepening the meaningful involvement of patients, public and civic partners, to understand and prioritise health and care needs, particularly in the context of high deprivation. </w:t>
      </w:r>
    </w:p>
    <w:p w14:paraId="295BD141" w14:textId="77777777" w:rsidR="00813C40" w:rsidRPr="00AD5353" w:rsidRDefault="00813C40" w:rsidP="00813C40">
      <w:pPr>
        <w:numPr>
          <w:ilvl w:val="0"/>
          <w:numId w:val="12"/>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b/>
          <w:bCs/>
          <w:lang w:eastAsia="en-GB"/>
        </w:rPr>
        <w:t xml:space="preserve">Build </w:t>
      </w:r>
      <w:r w:rsidRPr="00AD5353">
        <w:rPr>
          <w:rFonts w:ascii="Calibri" w:eastAsia="Times New Roman" w:hAnsi="Calibri" w:cs="Calibri"/>
          <w:lang w:eastAsia="en-GB"/>
        </w:rPr>
        <w:t>a unique national powerhouse for innovation by combining the world-leading discovery and translational science capabilities of our partnership with a strong research culture centred on a committed, diverse and inclusive workforce, to narrow health inequities across our urban, rural and coastal settings.  </w:t>
      </w:r>
    </w:p>
    <w:p w14:paraId="42777338" w14:textId="77777777" w:rsidR="00813C40" w:rsidRPr="00AD5353" w:rsidRDefault="00813C40" w:rsidP="00813C40">
      <w:pPr>
        <w:numPr>
          <w:ilvl w:val="0"/>
          <w:numId w:val="12"/>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b/>
          <w:bCs/>
          <w:lang w:eastAsia="en-GB"/>
        </w:rPr>
        <w:lastRenderedPageBreak/>
        <w:t>Accelerate</w:t>
      </w:r>
      <w:r w:rsidRPr="00AD5353">
        <w:rPr>
          <w:rFonts w:ascii="Calibri" w:eastAsia="Times New Roman" w:hAnsi="Calibri" w:cs="Calibri"/>
          <w:lang w:eastAsia="en-GB"/>
        </w:rPr>
        <w:t xml:space="preserve"> at scale, the impact of our research through our mature and integrated innovation pipeline, to achieve measurable improvements in health and wellbeing across all sections of society in our region and beyond. </w:t>
      </w:r>
    </w:p>
    <w:p w14:paraId="7B8C058E" w14:textId="77777777" w:rsidR="00813C40" w:rsidRPr="00AD5353" w:rsidRDefault="00813C40" w:rsidP="00813C40">
      <w:pPr>
        <w:spacing w:after="0" w:line="240" w:lineRule="auto"/>
        <w:ind w:left="720"/>
        <w:contextualSpacing/>
        <w:textAlignment w:val="baseline"/>
        <w:rPr>
          <w:rFonts w:ascii="Calibri" w:eastAsia="Times New Roman" w:hAnsi="Calibri" w:cs="Calibri"/>
          <w:lang w:eastAsia="en-GB"/>
        </w:rPr>
      </w:pPr>
    </w:p>
    <w:p w14:paraId="45BE0D19" w14:textId="77777777" w:rsidR="00813C40" w:rsidRPr="00AD5353" w:rsidRDefault="00813C40" w:rsidP="00813C40">
      <w:pPr>
        <w:rPr>
          <w:rFonts w:ascii="Calibri" w:eastAsia="Calibri" w:hAnsi="Calibri" w:cs="Calibri"/>
          <w:b/>
          <w:bCs/>
        </w:rPr>
      </w:pPr>
      <w:r w:rsidRPr="00AD5353">
        <w:rPr>
          <w:rFonts w:ascii="Calibri" w:eastAsia="Calibri" w:hAnsi="Calibri" w:cs="Calibri"/>
          <w:b/>
          <w:bCs/>
          <w:color w:val="000000"/>
        </w:rPr>
        <w:t xml:space="preserve">Management and Governance Arrangements </w:t>
      </w:r>
    </w:p>
    <w:p w14:paraId="2709634E" w14:textId="77777777" w:rsidR="00813C40" w:rsidRPr="00AD5353" w:rsidRDefault="00813C40" w:rsidP="00813C40">
      <w:pPr>
        <w:rPr>
          <w:rFonts w:ascii="Calibri" w:eastAsia="Calibri" w:hAnsi="Calibri" w:cs="Calibri"/>
          <w:color w:val="000000"/>
          <w:highlight w:val="yellow"/>
        </w:rPr>
      </w:pPr>
      <w:r w:rsidRPr="00AD5353">
        <w:rPr>
          <w:rFonts w:ascii="Calibri" w:eastAsia="Calibri" w:hAnsi="Calibri" w:cs="Calibri"/>
          <w:color w:val="000000"/>
        </w:rPr>
        <w:t xml:space="preserve">Manchester BRC is hosted by </w:t>
      </w:r>
      <w:r w:rsidRPr="00AD5353">
        <w:rPr>
          <w:rFonts w:ascii="Calibri" w:eastAsia="Calibri" w:hAnsi="Calibri" w:cs="Calibri"/>
          <w:b/>
          <w:bCs/>
          <w:color w:val="000000"/>
        </w:rPr>
        <w:t>Manchester University NHS Foundation Trust (MFT)</w:t>
      </w:r>
      <w:r w:rsidRPr="00AD5353">
        <w:rPr>
          <w:rFonts w:ascii="Calibri" w:eastAsia="Calibri" w:hAnsi="Calibri" w:cs="Calibri"/>
          <w:color w:val="000000"/>
        </w:rPr>
        <w:t xml:space="preserve">, in partnership with </w:t>
      </w:r>
      <w:r w:rsidRPr="00AD5353">
        <w:rPr>
          <w:rFonts w:ascii="Calibri" w:eastAsia="Calibri" w:hAnsi="Calibri" w:cs="Calibri"/>
          <w:b/>
          <w:bCs/>
          <w:color w:val="000000"/>
        </w:rPr>
        <w:t>The University of Manchester (UoM)</w:t>
      </w:r>
      <w:r w:rsidRPr="00AD5353">
        <w:rPr>
          <w:rFonts w:ascii="Calibri" w:eastAsia="Calibri" w:hAnsi="Calibri" w:cs="Calibri"/>
          <w:color w:val="000000"/>
        </w:rPr>
        <w:t xml:space="preserve">. MFT is the legal host for our Academic Health Science System - Health Innovation Manchester (HInM) – and established the Greater Manchester NIHR Oversight Board </w:t>
      </w:r>
      <w:r>
        <w:rPr>
          <w:rFonts w:ascii="Calibri" w:eastAsia="Calibri" w:hAnsi="Calibri" w:cs="Calibri"/>
          <w:color w:val="000000"/>
        </w:rPr>
        <w:t xml:space="preserve">which brings together all hosted NIHR infrastructure </w:t>
      </w:r>
      <w:r w:rsidRPr="00AD5353">
        <w:rPr>
          <w:rFonts w:ascii="Calibri" w:eastAsia="Calibri" w:hAnsi="Calibri" w:cs="Calibri"/>
          <w:color w:val="000000"/>
        </w:rPr>
        <w:t xml:space="preserve">to ensure our research and innovation capabilities align and provide excellence and value for money. </w:t>
      </w:r>
    </w:p>
    <w:p w14:paraId="2E337E67" w14:textId="77777777" w:rsidR="00813C40" w:rsidRPr="00AD5353" w:rsidRDefault="00813C40" w:rsidP="00813C40">
      <w:pPr>
        <w:rPr>
          <w:rFonts w:ascii="Calibri" w:eastAsia="Calibri" w:hAnsi="Calibri" w:cs="Calibri"/>
          <w:color w:val="000000"/>
        </w:rPr>
      </w:pPr>
      <w:r w:rsidRPr="00AD5353">
        <w:rPr>
          <w:rFonts w:ascii="Calibri" w:eastAsia="Calibri" w:hAnsi="Calibri" w:cs="Calibri"/>
          <w:color w:val="000000"/>
        </w:rPr>
        <w:t xml:space="preserve">The </w:t>
      </w:r>
      <w:r w:rsidRPr="00AD5353">
        <w:rPr>
          <w:rFonts w:ascii="Calibri" w:eastAsia="Calibri" w:hAnsi="Calibri" w:cs="Calibri"/>
          <w:b/>
          <w:bCs/>
          <w:color w:val="000000"/>
        </w:rPr>
        <w:t>BRC Governance Board</w:t>
      </w:r>
      <w:r w:rsidRPr="00AD5353">
        <w:rPr>
          <w:rFonts w:ascii="Calibri" w:eastAsia="Calibri" w:hAnsi="Calibri" w:cs="Calibri"/>
          <w:color w:val="000000"/>
        </w:rPr>
        <w:t xml:space="preserve"> holds the BRC’s leadership to account for delivery of overall strategic objectives and financial performance. Significant changes to the BRC budget and/or Themes require Governance Board approval. The </w:t>
      </w:r>
      <w:r w:rsidRPr="00AD5353">
        <w:rPr>
          <w:rFonts w:ascii="Calibri" w:eastAsia="Calibri" w:hAnsi="Calibri" w:cs="Calibri"/>
          <w:b/>
          <w:color w:val="000000"/>
        </w:rPr>
        <w:t>BRC</w:t>
      </w:r>
      <w:r w:rsidRPr="00AD5353">
        <w:rPr>
          <w:rFonts w:ascii="Calibri" w:eastAsia="Calibri" w:hAnsi="Calibri" w:cs="Calibri"/>
          <w:color w:val="000000"/>
        </w:rPr>
        <w:t xml:space="preserve"> </w:t>
      </w:r>
      <w:r w:rsidRPr="00AD5353">
        <w:rPr>
          <w:rFonts w:ascii="Calibri" w:eastAsia="Calibri" w:hAnsi="Calibri" w:cs="Calibri"/>
          <w:b/>
          <w:bCs/>
          <w:color w:val="000000"/>
        </w:rPr>
        <w:t>Governance Board</w:t>
      </w:r>
      <w:r w:rsidRPr="00AD5353">
        <w:rPr>
          <w:rFonts w:ascii="Calibri" w:eastAsia="Calibri" w:hAnsi="Calibri" w:cs="Calibri"/>
          <w:color w:val="000000"/>
        </w:rPr>
        <w:t xml:space="preserve">, attended by the BRC Director, is chaired by the MFT Group Chief Executive. Membership includes senior representatives from UoM (Dean of the Faculty of Biology, Medicine and Health), senor representatives from across the BRC NHS Trust partners, the Executive Chair of Health Innovation Manchester, the Medicines Discovery Catapult CEO, two public/patient </w:t>
      </w:r>
      <w:r>
        <w:rPr>
          <w:rFonts w:ascii="Calibri" w:eastAsia="Calibri" w:hAnsi="Calibri" w:cs="Calibri"/>
          <w:color w:val="000000"/>
        </w:rPr>
        <w:t>partners</w:t>
      </w:r>
      <w:r w:rsidRPr="00AD5353">
        <w:rPr>
          <w:rFonts w:ascii="Calibri" w:eastAsia="Calibri" w:hAnsi="Calibri" w:cs="Calibri"/>
          <w:color w:val="000000"/>
        </w:rPr>
        <w:t>, MFT/UoM EDI Leads and the Chair of our International Scientific Advisory Board (ISAB).</w:t>
      </w:r>
    </w:p>
    <w:p w14:paraId="088511CF" w14:textId="77777777" w:rsidR="00813C40" w:rsidRPr="00AD5353" w:rsidRDefault="00813C40" w:rsidP="00813C40">
      <w:pPr>
        <w:rPr>
          <w:rFonts w:ascii="Calibri" w:eastAsia="Calibri" w:hAnsi="Calibri" w:cs="Calibri"/>
          <w:color w:val="000000"/>
        </w:rPr>
      </w:pPr>
      <w:r w:rsidRPr="00AD5353">
        <w:rPr>
          <w:rFonts w:ascii="Calibri" w:eastAsia="Calibri" w:hAnsi="Calibri" w:cs="Calibri"/>
          <w:color w:val="000000"/>
        </w:rPr>
        <w:t xml:space="preserve">The BRC Director chairs the </w:t>
      </w:r>
      <w:r w:rsidRPr="00AD5353">
        <w:rPr>
          <w:rFonts w:ascii="Calibri" w:eastAsia="Calibri" w:hAnsi="Calibri" w:cs="Calibri"/>
          <w:b/>
          <w:bCs/>
          <w:color w:val="000000"/>
        </w:rPr>
        <w:t>BRC Strategic Executive</w:t>
      </w:r>
      <w:r w:rsidRPr="00AD5353">
        <w:rPr>
          <w:rFonts w:ascii="Calibri" w:eastAsia="Calibri" w:hAnsi="Calibri" w:cs="Calibri"/>
          <w:color w:val="000000"/>
        </w:rPr>
        <w:t xml:space="preserve"> that includes Cluster Board Chairs, Theme Leads, Leads for our Inclusive Research Infrastructure and Strategic Core Delivery areas (Figure 1) as well as public/patient </w:t>
      </w:r>
      <w:r>
        <w:rPr>
          <w:rFonts w:ascii="Calibri" w:eastAsia="Calibri" w:hAnsi="Calibri" w:cs="Calibri"/>
          <w:color w:val="000000"/>
        </w:rPr>
        <w:t>partners</w:t>
      </w:r>
      <w:r w:rsidRPr="00AD5353">
        <w:rPr>
          <w:rFonts w:ascii="Calibri" w:eastAsia="Calibri" w:hAnsi="Calibri" w:cs="Calibri"/>
          <w:color w:val="000000"/>
        </w:rPr>
        <w:t>, NIHR infrastructure leads, communications and children/young adults research. It drives delivery of a cohesive scientific strategy across all our partners, promotes and invests in cross-Theme scientific programmes and champions</w:t>
      </w:r>
      <w:r w:rsidRPr="00AD5353">
        <w:rPr>
          <w:rFonts w:ascii="Calibri" w:eastAsia="Calibri" w:hAnsi="Calibri" w:cs="Calibri"/>
        </w:rPr>
        <w:t xml:space="preserve"> equal and inclusive support of BRC teams working with a range of stakeholders including other </w:t>
      </w:r>
      <w:r w:rsidRPr="00AD5353">
        <w:rPr>
          <w:rFonts w:ascii="Calibri" w:eastAsia="Calibri" w:hAnsi="Calibri" w:cs="Calibri"/>
          <w:color w:val="000000"/>
        </w:rPr>
        <w:t xml:space="preserve">BRCs, NIHR-funded programmes and </w:t>
      </w:r>
      <w:r>
        <w:rPr>
          <w:rFonts w:ascii="Calibri" w:eastAsia="Calibri" w:hAnsi="Calibri" w:cs="Calibri"/>
          <w:color w:val="000000"/>
        </w:rPr>
        <w:t>external collaborators</w:t>
      </w:r>
      <w:r w:rsidRPr="00AD5353">
        <w:rPr>
          <w:rFonts w:ascii="Calibri" w:eastAsia="Calibri" w:hAnsi="Calibri" w:cs="Calibri"/>
          <w:color w:val="000000"/>
        </w:rPr>
        <w:t xml:space="preserve">. </w:t>
      </w:r>
    </w:p>
    <w:p w14:paraId="7408E440" w14:textId="77777777" w:rsidR="00813C40" w:rsidRPr="00AD5353" w:rsidRDefault="00813C40" w:rsidP="00813C40">
      <w:pPr>
        <w:rPr>
          <w:rFonts w:ascii="Calibri" w:eastAsia="Calibri" w:hAnsi="Calibri" w:cs="Calibri"/>
        </w:rPr>
      </w:pPr>
      <w:r w:rsidRPr="00AD5353">
        <w:rPr>
          <w:rFonts w:ascii="Calibri" w:eastAsia="Calibri" w:hAnsi="Calibri" w:cs="Calibri"/>
          <w:color w:val="000000"/>
        </w:rPr>
        <w:t xml:space="preserve">Our thirteen Themes (see below) are grouped into four Clusters each overseen by a </w:t>
      </w:r>
      <w:r w:rsidRPr="00AD5353">
        <w:rPr>
          <w:rFonts w:ascii="Calibri" w:eastAsia="Calibri" w:hAnsi="Calibri" w:cs="Calibri"/>
          <w:b/>
          <w:bCs/>
          <w:color w:val="000000"/>
        </w:rPr>
        <w:t>Cluster Board</w:t>
      </w:r>
      <w:r w:rsidRPr="00AD5353">
        <w:rPr>
          <w:rFonts w:ascii="Calibri" w:eastAsia="Calibri" w:hAnsi="Calibri" w:cs="Calibri"/>
          <w:color w:val="000000"/>
        </w:rPr>
        <w:t xml:space="preserve">. Membership </w:t>
      </w:r>
      <w:r>
        <w:rPr>
          <w:rFonts w:ascii="Calibri" w:eastAsia="Calibri" w:hAnsi="Calibri" w:cs="Calibri"/>
          <w:color w:val="000000"/>
        </w:rPr>
        <w:t xml:space="preserve">of the Cluster Boards </w:t>
      </w:r>
      <w:r w:rsidRPr="00AD5353">
        <w:rPr>
          <w:rFonts w:ascii="Calibri" w:eastAsia="Calibri" w:hAnsi="Calibri" w:cs="Calibri"/>
          <w:color w:val="000000"/>
        </w:rPr>
        <w:t>includes constituent Themes, Cluster Managers and a Theme Lead from each of the other three Clusters. Cluster Boards drive further integration across BRC Themes, use our established portfolio management systems to track progress of NIHR BRC majority-funded projects, and foster</w:t>
      </w:r>
      <w:r w:rsidRPr="00AD5353">
        <w:rPr>
          <w:rFonts w:ascii="Calibri" w:eastAsia="Calibri" w:hAnsi="Calibri" w:cs="Calibri"/>
        </w:rPr>
        <w:t xml:space="preserve"> collaborations to facilitate multidisciplinary </w:t>
      </w:r>
      <w:r>
        <w:rPr>
          <w:rFonts w:ascii="Calibri" w:eastAsia="Calibri" w:hAnsi="Calibri" w:cs="Calibri"/>
        </w:rPr>
        <w:t>working</w:t>
      </w:r>
      <w:r w:rsidRPr="00AD5353">
        <w:rPr>
          <w:rFonts w:ascii="Calibri" w:eastAsia="Calibri" w:hAnsi="Calibri" w:cs="Calibri"/>
        </w:rPr>
        <w:t>.</w:t>
      </w:r>
      <w:r w:rsidRPr="00AD5353">
        <w:rPr>
          <w:rFonts w:ascii="Calibri" w:eastAsia="Calibri" w:hAnsi="Calibri" w:cs="Calibri"/>
          <w:color w:val="000000"/>
        </w:rPr>
        <w:t xml:space="preserve"> </w:t>
      </w:r>
      <w:r w:rsidRPr="00AD5353">
        <w:rPr>
          <w:rFonts w:ascii="Calibri" w:eastAsia="Calibri" w:hAnsi="Calibri" w:cs="Calibri"/>
          <w:b/>
          <w:color w:val="000000"/>
        </w:rPr>
        <w:t>Theme Leads</w:t>
      </w:r>
      <w:r w:rsidRPr="00AD5353">
        <w:rPr>
          <w:rFonts w:ascii="Calibri" w:eastAsia="Calibri" w:hAnsi="Calibri" w:cs="Calibri"/>
          <w:color w:val="000000"/>
        </w:rPr>
        <w:t xml:space="preserve"> have responsibility for Theme management and progress towards delivery of strategy, SMART objectives and financial performance. Each co-Theme Lead will assume oversight for the Theme on assigned strategic activities (PPIEP, partnerships, EDI, capacity building). </w:t>
      </w:r>
    </w:p>
    <w:p w14:paraId="142951FB" w14:textId="77777777" w:rsidR="00813C40" w:rsidRPr="00AD5353" w:rsidRDefault="00813C40" w:rsidP="00813C40">
      <w:pPr>
        <w:rPr>
          <w:rFonts w:ascii="Calibri" w:eastAsia="Calibri" w:hAnsi="Calibri" w:cs="Calibri"/>
          <w:color w:val="000000"/>
        </w:rPr>
      </w:pPr>
      <w:r w:rsidRPr="00AD5353">
        <w:rPr>
          <w:rFonts w:ascii="Calibri" w:eastAsia="Calibri" w:hAnsi="Calibri" w:cs="Calibri"/>
          <w:color w:val="000000"/>
        </w:rPr>
        <w:t>Our</w:t>
      </w:r>
      <w:r w:rsidRPr="00AD5353">
        <w:rPr>
          <w:rFonts w:ascii="Calibri" w:eastAsia="Calibri" w:hAnsi="Calibri" w:cs="Calibri"/>
          <w:b/>
          <w:bCs/>
          <w:color w:val="000000"/>
        </w:rPr>
        <w:t xml:space="preserve"> International Scientific Advisory Board </w:t>
      </w:r>
      <w:r w:rsidRPr="00AD5353">
        <w:rPr>
          <w:rFonts w:ascii="Calibri" w:eastAsia="Calibri" w:hAnsi="Calibri" w:cs="Calibri"/>
          <w:color w:val="000000"/>
        </w:rPr>
        <w:t>critically assesses and advises on scientific strategy, ambitions and progress. Chaired by Professor Dermot Kelleher (Dean of the Faculty of Medicine, University of British Columbia), ISAB members are clinical, academic and industrial experts in BRC research areas. The ISAB provides annual independent feedback to ensure that we remain internationally leading. An ISAB-led formal ‘mid-term’ review (24 months) will advise on prioritisation and deprioritisation of BRC programmes.</w:t>
      </w:r>
    </w:p>
    <w:p w14:paraId="103ABEDD" w14:textId="77777777" w:rsidR="00813C40" w:rsidRPr="00AD5353" w:rsidRDefault="00813C40" w:rsidP="00813C40">
      <w:pPr>
        <w:rPr>
          <w:rFonts w:ascii="Calibri" w:eastAsia="Calibri" w:hAnsi="Calibri" w:cs="Calibri"/>
          <w:color w:val="000000"/>
          <w:u w:val="single"/>
        </w:rPr>
      </w:pPr>
      <w:r w:rsidRPr="00AD5353">
        <w:rPr>
          <w:rFonts w:ascii="Calibri" w:eastAsia="Calibri" w:hAnsi="Calibri" w:cs="Calibri"/>
          <w:color w:val="000000"/>
          <w:u w:val="single"/>
        </w:rPr>
        <w:t>Figure 1 – Governance Arrangements</w:t>
      </w:r>
    </w:p>
    <w:p w14:paraId="38B8CBFF" w14:textId="4F155965" w:rsidR="00813C40" w:rsidRPr="00AD5353" w:rsidRDefault="00813C40" w:rsidP="00813C40">
      <w:pPr>
        <w:rPr>
          <w:rFonts w:ascii="Calibri" w:eastAsia="Calibri" w:hAnsi="Calibri" w:cs="Calibri"/>
          <w:color w:val="000000"/>
        </w:rPr>
      </w:pPr>
      <w:r w:rsidRPr="00AD5353">
        <w:rPr>
          <w:rFonts w:ascii="Calibri" w:eastAsia="Calibri" w:hAnsi="Calibri"/>
        </w:rPr>
        <w:lastRenderedPageBreak/>
        <w:t> </w:t>
      </w:r>
      <w:r w:rsidR="00E6618B">
        <w:rPr>
          <w:noProof/>
        </w:rPr>
        <w:drawing>
          <wp:inline distT="0" distB="0" distL="0" distR="0" wp14:anchorId="01135355" wp14:editId="7F7A853E">
            <wp:extent cx="5943600" cy="3065780"/>
            <wp:effectExtent l="0" t="0" r="0" b="1270"/>
            <wp:docPr id="1058712758" name="Picture 1" descr="A diagram of a company's strateg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712758" name="Picture 1" descr="A diagram of a company's strategy&#10;&#10;Description automatically generated"/>
                    <pic:cNvPicPr/>
                  </pic:nvPicPr>
                  <pic:blipFill>
                    <a:blip r:embed="rId10"/>
                    <a:stretch>
                      <a:fillRect/>
                    </a:stretch>
                  </pic:blipFill>
                  <pic:spPr>
                    <a:xfrm>
                      <a:off x="0" y="0"/>
                      <a:ext cx="5943600" cy="3065780"/>
                    </a:xfrm>
                    <a:prstGeom prst="rect">
                      <a:avLst/>
                    </a:prstGeom>
                  </pic:spPr>
                </pic:pic>
              </a:graphicData>
            </a:graphic>
          </wp:inline>
        </w:drawing>
      </w:r>
    </w:p>
    <w:p w14:paraId="2476D9D1" w14:textId="77777777" w:rsidR="00813C40" w:rsidRPr="00AD5353" w:rsidRDefault="00813C40" w:rsidP="00813C40">
      <w:pPr>
        <w:rPr>
          <w:rFonts w:ascii="Calibri" w:eastAsia="Calibri" w:hAnsi="Calibri" w:cs="Calibri"/>
          <w:b/>
        </w:rPr>
      </w:pPr>
      <w:r w:rsidRPr="00AD5353">
        <w:rPr>
          <w:rFonts w:ascii="Calibri" w:eastAsia="Calibri" w:hAnsi="Calibri" w:cs="Calibri"/>
          <w:b/>
        </w:rPr>
        <w:t>Management of funding and research prioritisation</w:t>
      </w:r>
    </w:p>
    <w:p w14:paraId="7E8EFB24" w14:textId="77777777" w:rsidR="00813C40" w:rsidRPr="00AD5353" w:rsidRDefault="00813C40" w:rsidP="00813C40">
      <w:pPr>
        <w:rPr>
          <w:rFonts w:ascii="Calibri" w:eastAsia="Calibri" w:hAnsi="Calibri" w:cs="Calibri"/>
          <w:color w:val="000000"/>
        </w:rPr>
      </w:pPr>
      <w:r w:rsidRPr="00AD5353">
        <w:rPr>
          <w:rFonts w:ascii="Calibri" w:eastAsia="Calibri" w:hAnsi="Calibri" w:cs="Calibri"/>
        </w:rPr>
        <w:t xml:space="preserve">The </w:t>
      </w:r>
      <w:r w:rsidRPr="00AD5353">
        <w:rPr>
          <w:rFonts w:ascii="Calibri" w:eastAsia="Calibri" w:hAnsi="Calibri" w:cs="Calibri"/>
          <w:b/>
          <w:bCs/>
        </w:rPr>
        <w:t>BRC Director</w:t>
      </w:r>
      <w:r w:rsidRPr="00AD5353">
        <w:rPr>
          <w:rFonts w:ascii="Calibri" w:eastAsia="Calibri" w:hAnsi="Calibri" w:cs="Calibri"/>
        </w:rPr>
        <w:t xml:space="preserve"> is responsible for and has authority over BRC funding</w:t>
      </w:r>
      <w:r>
        <w:rPr>
          <w:rFonts w:ascii="Calibri" w:eastAsia="Calibri" w:hAnsi="Calibri" w:cs="Calibri"/>
        </w:rPr>
        <w:t xml:space="preserve"> and</w:t>
      </w:r>
      <w:r w:rsidRPr="00AD5353">
        <w:rPr>
          <w:rFonts w:ascii="Calibri" w:eastAsia="Calibri" w:hAnsi="Calibri" w:cs="Calibri"/>
        </w:rPr>
        <w:t xml:space="preserve"> is accountable for financial performance to the </w:t>
      </w:r>
      <w:r>
        <w:rPr>
          <w:rFonts w:ascii="Calibri" w:eastAsia="Calibri" w:hAnsi="Calibri" w:cs="Calibri"/>
        </w:rPr>
        <w:t xml:space="preserve">BRC </w:t>
      </w:r>
      <w:r w:rsidRPr="00AD5353">
        <w:rPr>
          <w:rFonts w:ascii="Calibri" w:eastAsia="Calibri" w:hAnsi="Calibri" w:cs="Calibri"/>
        </w:rPr>
        <w:t xml:space="preserve">Governance Board. </w:t>
      </w:r>
      <w:r w:rsidRPr="00AD5353">
        <w:rPr>
          <w:rFonts w:ascii="Calibri" w:eastAsia="Calibri" w:hAnsi="Calibri" w:cs="Calibri"/>
          <w:color w:val="000000"/>
        </w:rPr>
        <w:t xml:space="preserve">Theme Leads manage their funding and Clusters support Themes to maximise value for money and patient benefit. Disinvestment/reinvestment recommendations are made to the BRC Strategic Executive Group for approval and </w:t>
      </w:r>
      <w:r>
        <w:rPr>
          <w:rFonts w:ascii="Calibri" w:eastAsia="Calibri" w:hAnsi="Calibri" w:cs="Calibri"/>
          <w:color w:val="000000"/>
        </w:rPr>
        <w:t>are</w:t>
      </w:r>
      <w:r w:rsidRPr="00AD5353">
        <w:rPr>
          <w:rFonts w:ascii="Calibri" w:eastAsia="Calibri" w:hAnsi="Calibri" w:cs="Calibri"/>
          <w:color w:val="000000"/>
        </w:rPr>
        <w:t xml:space="preserve"> informed by project and Theme-level data on achieving milestones and objectives.   </w:t>
      </w:r>
    </w:p>
    <w:p w14:paraId="4E459A93" w14:textId="77777777" w:rsidR="00813C40" w:rsidRPr="00AD5353" w:rsidRDefault="00813C40" w:rsidP="00813C40">
      <w:pPr>
        <w:rPr>
          <w:rFonts w:ascii="Calibri" w:eastAsia="Calibri" w:hAnsi="Calibri" w:cs="Calibri"/>
          <w:color w:val="000000"/>
        </w:rPr>
      </w:pPr>
      <w:r w:rsidRPr="00AD5353">
        <w:rPr>
          <w:rFonts w:ascii="Calibri" w:eastAsia="Calibri" w:hAnsi="Calibri" w:cs="Calibri"/>
        </w:rPr>
        <w:t>Supported by M</w:t>
      </w:r>
      <w:r>
        <w:rPr>
          <w:rFonts w:ascii="Calibri" w:eastAsia="Calibri" w:hAnsi="Calibri" w:cs="Calibri"/>
        </w:rPr>
        <w:t>anchester Academic Health Science Centre (M</w:t>
      </w:r>
      <w:r w:rsidRPr="00AD5353">
        <w:rPr>
          <w:rFonts w:ascii="Calibri" w:eastAsia="Calibri" w:hAnsi="Calibri" w:cs="Calibri"/>
        </w:rPr>
        <w:t>AHSC</w:t>
      </w:r>
      <w:r>
        <w:rPr>
          <w:rFonts w:ascii="Calibri" w:eastAsia="Calibri" w:hAnsi="Calibri" w:cs="Calibri"/>
        </w:rPr>
        <w:t>)</w:t>
      </w:r>
      <w:r w:rsidRPr="00AD5353">
        <w:rPr>
          <w:rFonts w:ascii="Calibri" w:eastAsia="Calibri" w:hAnsi="Calibri" w:cs="Calibri"/>
        </w:rPr>
        <w:t xml:space="preserve"> and informed by our public and civic contributors, </w:t>
      </w:r>
      <w:r w:rsidRPr="00AD5353">
        <w:rPr>
          <w:rFonts w:ascii="Calibri" w:eastAsia="Calibri" w:hAnsi="Calibri" w:cs="Calibri"/>
          <w:color w:val="000000"/>
        </w:rPr>
        <w:t xml:space="preserve">BRC investigators identify local, regional and </w:t>
      </w:r>
      <w:r w:rsidRPr="00AD5353">
        <w:rPr>
          <w:rFonts w:ascii="Calibri" w:eastAsia="Calibri" w:hAnsi="Calibri" w:cs="Calibri"/>
        </w:rPr>
        <w:t xml:space="preserve">national </w:t>
      </w:r>
      <w:r w:rsidRPr="00AD5353">
        <w:rPr>
          <w:rFonts w:ascii="Calibri" w:eastAsia="Calibri" w:hAnsi="Calibri" w:cs="Calibri"/>
          <w:color w:val="000000"/>
        </w:rPr>
        <w:t>research and health priorities for their Themes and Clusters. Through this, alongside input from our ISAB, the Strategic Executive prioritise</w:t>
      </w:r>
      <w:r>
        <w:rPr>
          <w:rFonts w:ascii="Calibri" w:eastAsia="Calibri" w:hAnsi="Calibri" w:cs="Calibri"/>
          <w:color w:val="000000"/>
        </w:rPr>
        <w:t>s</w:t>
      </w:r>
      <w:r w:rsidRPr="00AD5353">
        <w:rPr>
          <w:rFonts w:ascii="Calibri" w:eastAsia="Calibri" w:hAnsi="Calibri" w:cs="Calibri"/>
          <w:color w:val="000000"/>
        </w:rPr>
        <w:t xml:space="preserve"> core challenges and unmet needs for strategic investment </w:t>
      </w:r>
      <w:r>
        <w:rPr>
          <w:rFonts w:ascii="Calibri" w:eastAsia="Calibri" w:hAnsi="Calibri" w:cs="Calibri"/>
          <w:color w:val="000000"/>
        </w:rPr>
        <w:t>through</w:t>
      </w:r>
      <w:r w:rsidRPr="00AD5353">
        <w:rPr>
          <w:rFonts w:ascii="Calibri" w:eastAsia="Calibri" w:hAnsi="Calibri" w:cs="Calibri"/>
          <w:color w:val="000000"/>
        </w:rPr>
        <w:t xml:space="preserve"> funding calls that </w:t>
      </w:r>
      <w:r>
        <w:rPr>
          <w:rFonts w:ascii="Calibri" w:eastAsia="Calibri" w:hAnsi="Calibri" w:cs="Calibri"/>
          <w:color w:val="000000"/>
        </w:rPr>
        <w:t>are</w:t>
      </w:r>
      <w:r w:rsidRPr="00AD5353">
        <w:rPr>
          <w:rFonts w:ascii="Calibri" w:eastAsia="Calibri" w:hAnsi="Calibri" w:cs="Calibri"/>
          <w:color w:val="000000"/>
        </w:rPr>
        <w:t xml:space="preserve"> targeted </w:t>
      </w:r>
      <w:r w:rsidRPr="00AD5353">
        <w:rPr>
          <w:rFonts w:ascii="Calibri" w:eastAsia="Calibri" w:hAnsi="Calibri" w:cs="Calibri"/>
        </w:rPr>
        <w:t xml:space="preserve">to </w:t>
      </w:r>
      <w:r w:rsidRPr="00AD5353">
        <w:rPr>
          <w:rFonts w:ascii="Calibri" w:eastAsia="Times New Roman" w:hAnsi="Calibri" w:cs="Calibri"/>
        </w:rPr>
        <w:t>involve at least two Clusters and a new collaborator in a partner Trust</w:t>
      </w:r>
      <w:r w:rsidRPr="00AD5353">
        <w:rPr>
          <w:rFonts w:ascii="Calibri" w:eastAsia="Calibri" w:hAnsi="Calibri" w:cs="Calibri"/>
        </w:rPr>
        <w:t xml:space="preserve">. </w:t>
      </w:r>
      <w:r>
        <w:rPr>
          <w:rFonts w:ascii="Calibri" w:eastAsia="Calibri" w:hAnsi="Calibri" w:cs="Calibri"/>
        </w:rPr>
        <w:t xml:space="preserve">The </w:t>
      </w:r>
      <w:r w:rsidRPr="00AD5353">
        <w:rPr>
          <w:rFonts w:ascii="Calibri" w:eastAsia="Calibri" w:hAnsi="Calibri" w:cs="Calibri"/>
        </w:rPr>
        <w:t>Strategic Executi</w:t>
      </w:r>
      <w:r w:rsidRPr="00AD5353">
        <w:rPr>
          <w:rFonts w:ascii="Calibri" w:eastAsia="Calibri" w:hAnsi="Calibri" w:cs="Calibri"/>
          <w:color w:val="000000"/>
        </w:rPr>
        <w:t>ve support</w:t>
      </w:r>
      <w:r>
        <w:rPr>
          <w:rFonts w:ascii="Calibri" w:eastAsia="Calibri" w:hAnsi="Calibri" w:cs="Calibri"/>
          <w:color w:val="000000"/>
        </w:rPr>
        <w:t>s</w:t>
      </w:r>
      <w:r w:rsidRPr="00AD5353">
        <w:rPr>
          <w:rFonts w:ascii="Calibri" w:eastAsia="Calibri" w:hAnsi="Calibri" w:cs="Calibri"/>
          <w:color w:val="000000"/>
        </w:rPr>
        <w:t xml:space="preserve"> acceleration of key projects towards late-stage development. </w:t>
      </w:r>
    </w:p>
    <w:p w14:paraId="5F47D50A"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b/>
          <w:bCs/>
          <w:lang w:eastAsia="en-GB"/>
        </w:rPr>
        <w:t>Key research areas</w:t>
      </w:r>
      <w:r w:rsidRPr="00AD5353">
        <w:rPr>
          <w:rFonts w:ascii="Calibri" w:eastAsia="Times New Roman" w:hAnsi="Calibri" w:cs="Calibri"/>
          <w:lang w:eastAsia="en-GB"/>
        </w:rPr>
        <w:t> </w:t>
      </w:r>
    </w:p>
    <w:p w14:paraId="61C4C017" w14:textId="77777777" w:rsidR="00813C40" w:rsidRPr="00AD5353" w:rsidRDefault="00813C40" w:rsidP="00813C40">
      <w:pPr>
        <w:spacing w:after="0" w:line="240" w:lineRule="auto"/>
        <w:textAlignment w:val="baseline"/>
        <w:rPr>
          <w:rFonts w:ascii="Calibri" w:eastAsia="Times New Roman" w:hAnsi="Calibri" w:cs="Calibri"/>
          <w:lang w:eastAsia="en-GB"/>
        </w:rPr>
      </w:pPr>
    </w:p>
    <w:p w14:paraId="540A1BEE"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 xml:space="preserve">Our established core infrastructure </w:t>
      </w:r>
      <w:r>
        <w:rPr>
          <w:rFonts w:ascii="Calibri" w:eastAsia="Times New Roman" w:hAnsi="Calibri" w:cs="Calibri"/>
          <w:lang w:eastAsia="en-GB"/>
        </w:rPr>
        <w:t>supports</w:t>
      </w:r>
      <w:r w:rsidRPr="00AD5353">
        <w:rPr>
          <w:rFonts w:ascii="Calibri" w:eastAsia="Times New Roman" w:hAnsi="Calibri" w:cs="Calibri"/>
          <w:lang w:eastAsia="en-GB"/>
        </w:rPr>
        <w:t xml:space="preserve"> scientific programmes aligned with MAHSC’s three grand challenges:   </w:t>
      </w:r>
    </w:p>
    <w:p w14:paraId="22DE50AE" w14:textId="77777777" w:rsidR="00813C40" w:rsidRPr="00AD5353" w:rsidRDefault="00813C40" w:rsidP="00813C40">
      <w:pPr>
        <w:spacing w:after="0" w:line="240" w:lineRule="auto"/>
        <w:textAlignment w:val="baseline"/>
        <w:rPr>
          <w:rFonts w:ascii="Calibri" w:eastAsia="Times New Roman" w:hAnsi="Calibri" w:cs="Calibri"/>
          <w:lang w:eastAsia="en-GB"/>
        </w:rPr>
      </w:pPr>
    </w:p>
    <w:p w14:paraId="45C9E72C" w14:textId="77777777" w:rsidR="00813C40" w:rsidRPr="00AD5353" w:rsidRDefault="00813C40" w:rsidP="00813C40">
      <w:pPr>
        <w:numPr>
          <w:ilvl w:val="0"/>
          <w:numId w:val="23"/>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u w:val="single"/>
          <w:lang w:eastAsia="en-GB"/>
        </w:rPr>
        <w:t>Basic mechanisms of disease.</w:t>
      </w:r>
      <w:r w:rsidRPr="00AD5353">
        <w:rPr>
          <w:rFonts w:ascii="Calibri" w:eastAsia="Times New Roman" w:hAnsi="Calibri" w:cs="Calibri"/>
          <w:lang w:eastAsia="en-GB"/>
        </w:rPr>
        <w:t xml:space="preserve"> Our discovery platforms and data science strengths drive deeper understanding of disease complexity, endotypes and multi-morbidity clusters, whilst integrating inclusive research principles, to understand how social factors influence biology in common disease processes. </w:t>
      </w:r>
    </w:p>
    <w:p w14:paraId="6DB65328" w14:textId="77777777" w:rsidR="00813C40" w:rsidRPr="00AD5353" w:rsidRDefault="00813C40" w:rsidP="00813C40">
      <w:pPr>
        <w:numPr>
          <w:ilvl w:val="0"/>
          <w:numId w:val="23"/>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u w:val="single"/>
          <w:lang w:eastAsia="en-GB"/>
        </w:rPr>
        <w:t>Prevention and early detection.</w:t>
      </w:r>
      <w:r w:rsidRPr="00AD5353">
        <w:rPr>
          <w:rFonts w:ascii="Calibri" w:eastAsia="Times New Roman" w:hAnsi="Calibri" w:cs="Calibri"/>
          <w:lang w:eastAsia="en-GB"/>
        </w:rPr>
        <w:t xml:space="preserve"> Building on our international leadership (International Alliance for Cancer Early Detection), and prioritising deprived communities and localities, we will translate insights across all Themes to predict and prevent disease and co-morbidities. Co-</w:t>
      </w:r>
      <w:r w:rsidRPr="00AD5353">
        <w:rPr>
          <w:rFonts w:ascii="Calibri" w:eastAsia="Times New Roman" w:hAnsi="Calibri" w:cs="Calibri"/>
          <w:lang w:eastAsia="en-GB"/>
        </w:rPr>
        <w:lastRenderedPageBreak/>
        <w:t>production with local, regional and international industry leaders in integrated diagnostics will provide a global outlet for innovations.  </w:t>
      </w:r>
    </w:p>
    <w:p w14:paraId="06A10D03" w14:textId="77777777" w:rsidR="00813C40" w:rsidRPr="00AD5353" w:rsidRDefault="00813C40" w:rsidP="00813C40">
      <w:pPr>
        <w:numPr>
          <w:ilvl w:val="0"/>
          <w:numId w:val="23"/>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u w:val="single"/>
          <w:lang w:eastAsia="en-GB"/>
        </w:rPr>
        <w:t>Person-centred therapies, interventions and care pathways.</w:t>
      </w:r>
      <w:r w:rsidRPr="00AD5353">
        <w:rPr>
          <w:rFonts w:ascii="Calibri" w:eastAsia="Times New Roman" w:hAnsi="Calibri" w:cs="Calibri"/>
          <w:lang w:eastAsia="en-GB"/>
        </w:rPr>
        <w:t xml:space="preserve"> We are in the vanguard of the discovery and early development of next generation therapies, including advanced materials and nanomedicine and cell and gene therapies. With the Christabel Pankhurst Institute (digital technology and advanced materials) technology trial platforms, we will widen access to and participation in translational medicine. </w:t>
      </w:r>
    </w:p>
    <w:p w14:paraId="6B7CD9B8"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 </w:t>
      </w:r>
    </w:p>
    <w:p w14:paraId="2FB95970"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Equality, diversity and inclusion (EDI) are</w:t>
      </w:r>
      <w:r w:rsidRPr="00AD5353">
        <w:rPr>
          <w:rFonts w:ascii="Calibri" w:eastAsia="Times New Roman" w:hAnsi="Calibri" w:cs="Calibri"/>
          <w:b/>
          <w:bCs/>
          <w:lang w:eastAsia="en-GB"/>
        </w:rPr>
        <w:t xml:space="preserve"> </w:t>
      </w:r>
      <w:r w:rsidRPr="00AD5353">
        <w:rPr>
          <w:rFonts w:ascii="Calibri" w:eastAsia="Times New Roman" w:hAnsi="Calibri" w:cs="Calibri"/>
          <w:lang w:eastAsia="en-GB"/>
        </w:rPr>
        <w:t>central tenets of Manchester BRC built on our world-leading track-record of social responsibility. We have established an Inclusive Research Oversight Board (IROB) that includes patients, citizens, public health, methodologists and GM-ICS. Patient and public voices from across our diverse region co-produced our vision and aims and are embedded into our scientific and governance structures. Through meaningful engagement, we will understand the complex and diverse experience and perspectives of our communities, promoting a more health research confident population. </w:t>
      </w:r>
    </w:p>
    <w:p w14:paraId="74A8DF3F"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 </w:t>
      </w:r>
    </w:p>
    <w:p w14:paraId="0D89719F"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 xml:space="preserve">To address patient need and respond with agility to changing circumstance, our academic and workforce training programmes will embrace the diversity of people, skills, values and behaviours required for Team Science in biomedical research. We will </w:t>
      </w:r>
      <w:r>
        <w:rPr>
          <w:rFonts w:ascii="Calibri" w:eastAsia="Times New Roman" w:hAnsi="Calibri" w:cs="Calibri"/>
          <w:lang w:eastAsia="en-GB"/>
        </w:rPr>
        <w:t>support</w:t>
      </w:r>
      <w:r w:rsidRPr="00AD5353">
        <w:rPr>
          <w:rFonts w:ascii="Calibri" w:eastAsia="Times New Roman" w:hAnsi="Calibri" w:cs="Calibri"/>
          <w:lang w:eastAsia="en-GB"/>
        </w:rPr>
        <w:t xml:space="preserve"> an inclusive workforce through delivery of our </w:t>
      </w:r>
      <w:r>
        <w:rPr>
          <w:rFonts w:ascii="Calibri" w:eastAsia="Times New Roman" w:hAnsi="Calibri" w:cs="Calibri"/>
          <w:lang w:eastAsia="en-GB"/>
        </w:rPr>
        <w:t xml:space="preserve">ambitious </w:t>
      </w:r>
      <w:r w:rsidRPr="00AD5353">
        <w:rPr>
          <w:rFonts w:ascii="Calibri" w:eastAsia="Times New Roman" w:hAnsi="Calibri" w:cs="Calibri"/>
          <w:lang w:eastAsia="en-GB"/>
        </w:rPr>
        <w:t>EDI strategy, taking bold actions to address under-representation and tackle systemic bias.  </w:t>
      </w:r>
    </w:p>
    <w:p w14:paraId="2F39F54A" w14:textId="5C76AE37" w:rsidR="00813C40" w:rsidRPr="00100B22" w:rsidRDefault="00813C40" w:rsidP="00813C40">
      <w:pPr>
        <w:shd w:val="clear" w:color="auto" w:fill="FFFFFF"/>
        <w:spacing w:after="0" w:line="240" w:lineRule="auto"/>
        <w:ind w:right="360"/>
        <w:textAlignment w:val="baseline"/>
        <w:rPr>
          <w:rFonts w:ascii="Calibri" w:eastAsia="Times New Roman" w:hAnsi="Calibri" w:cs="Calibri"/>
          <w:color w:val="362B36"/>
          <w:lang w:eastAsia="en-GB"/>
        </w:rPr>
      </w:pPr>
    </w:p>
    <w:p w14:paraId="5D83F372" w14:textId="77777777" w:rsidR="00813C40" w:rsidRDefault="00813C40" w:rsidP="00813C40">
      <w:pPr>
        <w:shd w:val="clear" w:color="auto" w:fill="FFFFFF"/>
        <w:spacing w:after="0" w:line="240" w:lineRule="auto"/>
        <w:ind w:right="360"/>
        <w:textAlignment w:val="baseline"/>
        <w:rPr>
          <w:rFonts w:ascii="Calibri" w:eastAsia="Times New Roman" w:hAnsi="Calibri" w:cs="Calibri"/>
          <w:b/>
          <w:bCs/>
          <w:color w:val="362B36"/>
          <w:lang w:eastAsia="en-GB"/>
        </w:rPr>
      </w:pPr>
      <w:r w:rsidRPr="00E70DBC">
        <w:rPr>
          <w:rFonts w:ascii="Calibri" w:eastAsia="Times New Roman" w:hAnsi="Calibri" w:cs="Calibri"/>
          <w:b/>
          <w:bCs/>
          <w:color w:val="362B36"/>
          <w:lang w:eastAsia="en-GB"/>
        </w:rPr>
        <w:t>Outline of Clusters and Themes</w:t>
      </w:r>
    </w:p>
    <w:p w14:paraId="4061CB4E" w14:textId="77777777" w:rsidR="00100B22" w:rsidRDefault="00100B22" w:rsidP="00813C40">
      <w:pPr>
        <w:shd w:val="clear" w:color="auto" w:fill="FFFFFF"/>
        <w:spacing w:after="0" w:line="240" w:lineRule="auto"/>
        <w:ind w:right="360"/>
        <w:textAlignment w:val="baseline"/>
        <w:rPr>
          <w:rFonts w:ascii="Calibri" w:eastAsia="Times New Roman" w:hAnsi="Calibri" w:cs="Calibri"/>
          <w:b/>
          <w:bCs/>
          <w:color w:val="362B36"/>
          <w:lang w:eastAsia="en-GB"/>
        </w:rPr>
      </w:pPr>
    </w:p>
    <w:p w14:paraId="2A47E547" w14:textId="11D50117" w:rsidR="00100B22" w:rsidRPr="00E70DBC" w:rsidRDefault="00100B22" w:rsidP="00813C40">
      <w:pPr>
        <w:shd w:val="clear" w:color="auto" w:fill="FFFFFF"/>
        <w:spacing w:after="0" w:line="240" w:lineRule="auto"/>
        <w:ind w:right="360"/>
        <w:textAlignment w:val="baseline"/>
        <w:rPr>
          <w:rFonts w:ascii="Calibri" w:eastAsia="Times New Roman" w:hAnsi="Calibri" w:cs="Calibri"/>
          <w:b/>
          <w:bCs/>
          <w:color w:val="362B36"/>
          <w:lang w:eastAsia="en-GB"/>
        </w:rPr>
      </w:pPr>
      <w:r>
        <w:rPr>
          <w:noProof/>
        </w:rPr>
        <w:drawing>
          <wp:inline distT="0" distB="0" distL="0" distR="0" wp14:anchorId="33979C4F" wp14:editId="04F7A1BC">
            <wp:extent cx="4122960" cy="3924300"/>
            <wp:effectExtent l="0" t="0" r="0" b="0"/>
            <wp:docPr id="1424429463" name="Picture 1" descr="A diagram of health condi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429463" name="Picture 1" descr="A diagram of health conditions&#10;&#10;Description automatically generated"/>
                    <pic:cNvPicPr/>
                  </pic:nvPicPr>
                  <pic:blipFill>
                    <a:blip r:embed="rId11"/>
                    <a:stretch>
                      <a:fillRect/>
                    </a:stretch>
                  </pic:blipFill>
                  <pic:spPr>
                    <a:xfrm>
                      <a:off x="0" y="0"/>
                      <a:ext cx="4130832" cy="3931793"/>
                    </a:xfrm>
                    <a:prstGeom prst="rect">
                      <a:avLst/>
                    </a:prstGeom>
                  </pic:spPr>
                </pic:pic>
              </a:graphicData>
            </a:graphic>
          </wp:inline>
        </w:drawing>
      </w:r>
    </w:p>
    <w:p w14:paraId="2A1F34E8" w14:textId="77777777" w:rsidR="00813C40" w:rsidRPr="00AD5353" w:rsidRDefault="00813C40" w:rsidP="00813C40">
      <w:pPr>
        <w:shd w:val="clear" w:color="auto" w:fill="FFFFFF"/>
        <w:spacing w:after="0" w:line="240" w:lineRule="auto"/>
        <w:ind w:right="360"/>
        <w:textAlignment w:val="baseline"/>
        <w:rPr>
          <w:rFonts w:ascii="Calibri" w:eastAsia="Times New Roman" w:hAnsi="Calibri" w:cs="Calibri"/>
          <w:b/>
          <w:bCs/>
          <w:color w:val="362B36"/>
          <w:u w:val="single"/>
          <w:lang w:eastAsia="en-GB"/>
        </w:rPr>
      </w:pPr>
    </w:p>
    <w:p w14:paraId="0A3D6F9E" w14:textId="1A569223" w:rsidR="00813C40" w:rsidRPr="00AD5353" w:rsidRDefault="00813C40" w:rsidP="00813C40">
      <w:pPr>
        <w:shd w:val="clear" w:color="auto" w:fill="FFFFFF"/>
        <w:spacing w:after="0" w:line="240" w:lineRule="auto"/>
        <w:ind w:right="360"/>
        <w:textAlignment w:val="baseline"/>
        <w:rPr>
          <w:rFonts w:ascii="Calibri" w:eastAsia="Times New Roman" w:hAnsi="Calibri" w:cs="Calibri"/>
          <w:lang w:eastAsia="en-GB"/>
        </w:rPr>
      </w:pPr>
      <w:r w:rsidRPr="00AD5353">
        <w:rPr>
          <w:rFonts w:ascii="Calibri" w:eastAsia="Calibri" w:hAnsi="Calibri"/>
        </w:rPr>
        <w:t> </w:t>
      </w:r>
    </w:p>
    <w:p w14:paraId="71EFB0E0"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lastRenderedPageBreak/>
        <w:t> </w:t>
      </w:r>
    </w:p>
    <w:p w14:paraId="13616F39"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All thirteen BRC Themes have internationally-leading research strengths and address major unmet clinical needs. Themes collaborate in four Clusters to maximise cohesion and encompass a wider geographical reach and mission.  </w:t>
      </w:r>
    </w:p>
    <w:p w14:paraId="1BF49C46"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 </w:t>
      </w:r>
    </w:p>
    <w:p w14:paraId="121BF69C" w14:textId="77777777" w:rsidR="00813C40" w:rsidRPr="00E70DBC" w:rsidRDefault="00813C40" w:rsidP="00813C40">
      <w:pPr>
        <w:spacing w:after="0" w:line="240" w:lineRule="auto"/>
        <w:textAlignment w:val="baseline"/>
        <w:rPr>
          <w:rFonts w:ascii="Calibri" w:eastAsia="Times New Roman" w:hAnsi="Calibri" w:cs="Calibri"/>
          <w:u w:val="single"/>
          <w:lang w:eastAsia="en-GB"/>
        </w:rPr>
      </w:pPr>
      <w:r w:rsidRPr="00E70DBC">
        <w:rPr>
          <w:rFonts w:ascii="Calibri" w:eastAsia="Times New Roman" w:hAnsi="Calibri" w:cs="Calibri"/>
          <w:u w:val="single"/>
          <w:lang w:eastAsia="en-GB"/>
        </w:rPr>
        <w:t>Advanced Diagnostics &amp; Therapeutics Catalyst Cluster</w:t>
      </w:r>
    </w:p>
    <w:p w14:paraId="55D07598" w14:textId="77777777" w:rsidR="00813C40" w:rsidRPr="00AD5353" w:rsidRDefault="00813C40" w:rsidP="00813C40">
      <w:pPr>
        <w:numPr>
          <w:ilvl w:val="0"/>
          <w:numId w:val="24"/>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lang w:eastAsia="en-GB"/>
        </w:rPr>
        <w:t>Next Generation Phenotyping and Diagnostics </w:t>
      </w:r>
    </w:p>
    <w:p w14:paraId="393C2787" w14:textId="77777777" w:rsidR="00813C40" w:rsidRPr="00AD5353" w:rsidRDefault="00813C40" w:rsidP="00813C40">
      <w:pPr>
        <w:numPr>
          <w:ilvl w:val="0"/>
          <w:numId w:val="24"/>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lang w:eastAsia="en-GB"/>
        </w:rPr>
        <w:t>Next Generation Therapeutics</w:t>
      </w:r>
    </w:p>
    <w:p w14:paraId="53C541AE" w14:textId="77777777" w:rsidR="00813C40" w:rsidRPr="00AD5353" w:rsidRDefault="00813C40" w:rsidP="00813C40">
      <w:pPr>
        <w:spacing w:after="0" w:line="240" w:lineRule="auto"/>
        <w:textAlignment w:val="baseline"/>
        <w:rPr>
          <w:rFonts w:ascii="Calibri" w:eastAsia="Times New Roman" w:hAnsi="Calibri" w:cs="Calibri"/>
          <w:lang w:eastAsia="en-GB"/>
        </w:rPr>
      </w:pPr>
    </w:p>
    <w:p w14:paraId="51758FAB"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This Cluster harnesses our systematic discovery, data science and early phase trials capabilities to provide a deeper understanding of disease mechanisms, including how inequalities and social factors impact biological processes. It provides a platform to provide early proof of concept for our novel therapeutics pipeline and accelerates new diagnostics and precision therapies towards later stage development.    </w:t>
      </w:r>
    </w:p>
    <w:p w14:paraId="26157CB2"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 </w:t>
      </w:r>
    </w:p>
    <w:p w14:paraId="215D8FE2" w14:textId="53A8C55D" w:rsidR="00813C40" w:rsidRPr="00E70DBC" w:rsidRDefault="00813C40" w:rsidP="00813C40">
      <w:pPr>
        <w:spacing w:after="0" w:line="240" w:lineRule="auto"/>
        <w:textAlignment w:val="baseline"/>
        <w:rPr>
          <w:rFonts w:ascii="Calibri" w:eastAsia="Times New Roman" w:hAnsi="Calibri" w:cs="Calibri"/>
          <w:u w:val="single"/>
          <w:lang w:eastAsia="en-GB"/>
        </w:rPr>
      </w:pPr>
      <w:r w:rsidRPr="00E70DBC">
        <w:rPr>
          <w:rFonts w:ascii="Calibri" w:eastAsia="Times New Roman" w:hAnsi="Calibri" w:cs="Calibri"/>
          <w:u w:val="single"/>
          <w:lang w:eastAsia="en-GB"/>
        </w:rPr>
        <w:t>Inflammation </w:t>
      </w:r>
      <w:r w:rsidR="00100B22">
        <w:rPr>
          <w:rFonts w:ascii="Calibri" w:eastAsia="Times New Roman" w:hAnsi="Calibri" w:cs="Calibri"/>
          <w:u w:val="single"/>
          <w:lang w:eastAsia="en-GB"/>
        </w:rPr>
        <w:t>Cluster</w:t>
      </w:r>
    </w:p>
    <w:p w14:paraId="1D659510" w14:textId="77777777" w:rsidR="00813C40" w:rsidRPr="00AD5353" w:rsidRDefault="00813C40" w:rsidP="00813C40">
      <w:pPr>
        <w:numPr>
          <w:ilvl w:val="0"/>
          <w:numId w:val="25"/>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lang w:eastAsia="en-GB"/>
        </w:rPr>
        <w:t>Rheumatic and Musculoskeletal Disease (RMD)  </w:t>
      </w:r>
    </w:p>
    <w:p w14:paraId="5D1456FC" w14:textId="77777777" w:rsidR="00813C40" w:rsidRPr="00AD5353" w:rsidRDefault="00813C40" w:rsidP="00813C40">
      <w:pPr>
        <w:numPr>
          <w:ilvl w:val="0"/>
          <w:numId w:val="25"/>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lang w:eastAsia="en-GB"/>
        </w:rPr>
        <w:t>Respiratory Medicine </w:t>
      </w:r>
    </w:p>
    <w:p w14:paraId="7059E905" w14:textId="77777777" w:rsidR="00813C40" w:rsidRPr="00AD5353" w:rsidRDefault="00813C40" w:rsidP="00813C40">
      <w:pPr>
        <w:numPr>
          <w:ilvl w:val="0"/>
          <w:numId w:val="25"/>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lang w:eastAsia="en-GB"/>
        </w:rPr>
        <w:t>Dermatology: Cutaneous Disorders and Wound Healing  </w:t>
      </w:r>
    </w:p>
    <w:p w14:paraId="444D5F19" w14:textId="77777777" w:rsidR="00813C40" w:rsidRPr="00AD5353" w:rsidRDefault="00813C40" w:rsidP="00813C40">
      <w:pPr>
        <w:numPr>
          <w:ilvl w:val="0"/>
          <w:numId w:val="25"/>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lang w:eastAsia="en-GB"/>
        </w:rPr>
        <w:t>Integrative Cardiovascular Medicine</w:t>
      </w:r>
    </w:p>
    <w:p w14:paraId="67462CB4" w14:textId="77777777" w:rsidR="00813C40" w:rsidRPr="00AD5353" w:rsidRDefault="00813C40" w:rsidP="00813C40">
      <w:pPr>
        <w:spacing w:after="0" w:line="240" w:lineRule="auto"/>
        <w:textAlignment w:val="baseline"/>
        <w:rPr>
          <w:rFonts w:ascii="Calibri" w:eastAsia="Times New Roman" w:hAnsi="Calibri" w:cs="Calibri"/>
          <w:lang w:eastAsia="en-GB"/>
        </w:rPr>
      </w:pPr>
    </w:p>
    <w:p w14:paraId="0A2DE171"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We have basic science excellence in genomics, immunology and inflammation and fibrosis. This Cluster addresses several of the most common causes of death and disability in our region and nationally in which prognosis is strongly influenced by deprivation and adverse social determinants. Themes deepen understanding of the common and individual processes driving disease evolution, co-morbidities and therapeutic responses and translate these to precision trials in patients across the life course to reduce morbidity and mortality.         </w:t>
      </w:r>
    </w:p>
    <w:p w14:paraId="1D2E5CAF"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 </w:t>
      </w:r>
    </w:p>
    <w:p w14:paraId="16A654A2" w14:textId="3335AA28" w:rsidR="00813C40" w:rsidRPr="00E70DBC" w:rsidRDefault="00813C40" w:rsidP="00813C40">
      <w:pPr>
        <w:spacing w:after="0" w:line="240" w:lineRule="auto"/>
        <w:textAlignment w:val="baseline"/>
        <w:rPr>
          <w:rFonts w:ascii="Calibri" w:eastAsia="Times New Roman" w:hAnsi="Calibri" w:cs="Calibri"/>
          <w:u w:val="single"/>
          <w:lang w:eastAsia="en-GB"/>
        </w:rPr>
      </w:pPr>
      <w:r w:rsidRPr="00E70DBC">
        <w:rPr>
          <w:rFonts w:ascii="Calibri" w:eastAsia="Times New Roman" w:hAnsi="Calibri" w:cs="Calibri"/>
          <w:u w:val="single"/>
          <w:lang w:eastAsia="en-GB"/>
        </w:rPr>
        <w:t>Cancer </w:t>
      </w:r>
      <w:r w:rsidR="00100B22">
        <w:rPr>
          <w:rFonts w:ascii="Calibri" w:eastAsia="Times New Roman" w:hAnsi="Calibri" w:cs="Calibri"/>
          <w:u w:val="single"/>
          <w:lang w:eastAsia="en-GB"/>
        </w:rPr>
        <w:t>Cluster</w:t>
      </w:r>
    </w:p>
    <w:p w14:paraId="06098107" w14:textId="77777777" w:rsidR="00813C40" w:rsidRPr="00AD5353" w:rsidRDefault="00813C40" w:rsidP="00813C40">
      <w:pPr>
        <w:numPr>
          <w:ilvl w:val="0"/>
          <w:numId w:val="28"/>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lang w:eastAsia="en-GB"/>
        </w:rPr>
        <w:t>Cancer Prevention and Early Detection</w:t>
      </w:r>
    </w:p>
    <w:p w14:paraId="35A7A988" w14:textId="77777777" w:rsidR="00813C40" w:rsidRPr="00AD5353" w:rsidRDefault="00813C40" w:rsidP="00813C40">
      <w:pPr>
        <w:numPr>
          <w:ilvl w:val="0"/>
          <w:numId w:val="28"/>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lang w:eastAsia="en-GB"/>
        </w:rPr>
        <w:t>Cancer Precision Medicine  </w:t>
      </w:r>
    </w:p>
    <w:p w14:paraId="7C1FA4E3" w14:textId="77777777" w:rsidR="00813C40" w:rsidRPr="00AD5353" w:rsidRDefault="00813C40" w:rsidP="00813C40">
      <w:pPr>
        <w:numPr>
          <w:ilvl w:val="0"/>
          <w:numId w:val="28"/>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lang w:eastAsia="en-GB"/>
        </w:rPr>
        <w:t>Advanced Radiotherapy  </w:t>
      </w:r>
    </w:p>
    <w:p w14:paraId="65059A8A" w14:textId="77777777" w:rsidR="00813C40" w:rsidRPr="00AD5353" w:rsidRDefault="00813C40" w:rsidP="00813C40">
      <w:pPr>
        <w:numPr>
          <w:ilvl w:val="0"/>
          <w:numId w:val="28"/>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lang w:eastAsia="en-GB"/>
        </w:rPr>
        <w:t>Living with and Beyond Cancer </w:t>
      </w:r>
    </w:p>
    <w:p w14:paraId="23068690" w14:textId="77777777" w:rsidR="00813C40" w:rsidRPr="00AD5353" w:rsidRDefault="00813C40" w:rsidP="00813C40">
      <w:pPr>
        <w:spacing w:after="0" w:line="240" w:lineRule="auto"/>
        <w:textAlignment w:val="baseline"/>
        <w:rPr>
          <w:rFonts w:ascii="Calibri" w:eastAsia="Times New Roman" w:hAnsi="Calibri" w:cs="Calibri"/>
          <w:lang w:eastAsia="en-GB"/>
        </w:rPr>
      </w:pPr>
    </w:p>
    <w:p w14:paraId="4C650167"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Manchester is one of four CRUK Major Centres. This Cluster is addressing emerging challenges and opportunities to improve the lives of all cancer patients. It provides a comprehensive approach to the whole patient/person journey by addressing prevention and early detection, key modes of cancer therapies (Advanced Radiotherapy and Precision Medicine) and addressing MLTCs in cancer survivors, all to provide new trials for complex patients and reduce the overall impact of cancer.   </w:t>
      </w:r>
    </w:p>
    <w:p w14:paraId="59F3A402" w14:textId="77777777" w:rsidR="00813C40" w:rsidRPr="00E70DBC" w:rsidRDefault="00813C40" w:rsidP="00813C40">
      <w:pPr>
        <w:spacing w:after="0" w:line="240" w:lineRule="auto"/>
        <w:textAlignment w:val="baseline"/>
        <w:rPr>
          <w:rFonts w:ascii="Calibri" w:eastAsia="Times New Roman" w:hAnsi="Calibri" w:cs="Calibri"/>
          <w:u w:val="single"/>
          <w:lang w:eastAsia="en-GB"/>
        </w:rPr>
      </w:pPr>
    </w:p>
    <w:p w14:paraId="72E7C787" w14:textId="332C8E32" w:rsidR="00813C40" w:rsidRPr="00E70DBC" w:rsidRDefault="00813C40" w:rsidP="00813C40">
      <w:pPr>
        <w:spacing w:after="0" w:line="240" w:lineRule="auto"/>
        <w:textAlignment w:val="baseline"/>
        <w:rPr>
          <w:rFonts w:ascii="Calibri" w:eastAsia="Times New Roman" w:hAnsi="Calibri" w:cs="Calibri"/>
          <w:u w:val="single"/>
          <w:lang w:eastAsia="en-GB"/>
        </w:rPr>
      </w:pPr>
      <w:r w:rsidRPr="00E70DBC">
        <w:rPr>
          <w:rFonts w:ascii="Calibri" w:eastAsia="Times New Roman" w:hAnsi="Calibri" w:cs="Calibri"/>
          <w:u w:val="single"/>
          <w:lang w:eastAsia="en-GB"/>
        </w:rPr>
        <w:t>Under-researched Conditions</w:t>
      </w:r>
      <w:r w:rsidR="00100B22">
        <w:rPr>
          <w:rFonts w:ascii="Calibri" w:eastAsia="Times New Roman" w:hAnsi="Calibri" w:cs="Calibri"/>
          <w:u w:val="single"/>
          <w:lang w:eastAsia="en-GB"/>
        </w:rPr>
        <w:t xml:space="preserve"> Cluster</w:t>
      </w:r>
    </w:p>
    <w:p w14:paraId="40DE67F9" w14:textId="77777777" w:rsidR="00813C40" w:rsidRPr="00AD5353" w:rsidRDefault="00813C40" w:rsidP="00813C40">
      <w:pPr>
        <w:numPr>
          <w:ilvl w:val="0"/>
          <w:numId w:val="29"/>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lang w:eastAsia="en-GB"/>
        </w:rPr>
        <w:t>Hearing Health  </w:t>
      </w:r>
    </w:p>
    <w:p w14:paraId="2F47A4E2" w14:textId="77777777" w:rsidR="00813C40" w:rsidRPr="00AD5353" w:rsidRDefault="00813C40" w:rsidP="00813C40">
      <w:pPr>
        <w:numPr>
          <w:ilvl w:val="0"/>
          <w:numId w:val="29"/>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lang w:eastAsia="en-GB"/>
        </w:rPr>
        <w:t>Mental Health </w:t>
      </w:r>
    </w:p>
    <w:p w14:paraId="6A8D3B61" w14:textId="77777777" w:rsidR="00813C40" w:rsidRPr="00AD5353" w:rsidRDefault="00813C40" w:rsidP="00813C40">
      <w:pPr>
        <w:numPr>
          <w:ilvl w:val="0"/>
          <w:numId w:val="29"/>
        </w:numPr>
        <w:spacing w:after="0" w:line="240" w:lineRule="auto"/>
        <w:contextualSpacing/>
        <w:textAlignment w:val="baseline"/>
        <w:rPr>
          <w:rFonts w:ascii="Calibri" w:eastAsia="Times New Roman" w:hAnsi="Calibri" w:cs="Calibri"/>
          <w:lang w:eastAsia="en-GB"/>
        </w:rPr>
      </w:pPr>
      <w:r w:rsidRPr="00AD5353">
        <w:rPr>
          <w:rFonts w:ascii="Calibri" w:eastAsia="Times New Roman" w:hAnsi="Calibri" w:cs="Calibri"/>
          <w:lang w:eastAsia="en-GB"/>
        </w:rPr>
        <w:t>Rare Conditions.  </w:t>
      </w:r>
    </w:p>
    <w:p w14:paraId="472BEACE" w14:textId="77777777" w:rsidR="00813C40" w:rsidRPr="00AD5353" w:rsidRDefault="00813C40" w:rsidP="00813C40">
      <w:pPr>
        <w:spacing w:after="0" w:line="240" w:lineRule="auto"/>
        <w:textAlignment w:val="baseline"/>
        <w:rPr>
          <w:rFonts w:ascii="Calibri" w:eastAsia="Times New Roman" w:hAnsi="Calibri" w:cs="Calibri"/>
          <w:lang w:eastAsia="en-GB"/>
        </w:rPr>
      </w:pPr>
    </w:p>
    <w:p w14:paraId="7ADBB042"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 xml:space="preserve">A national priority is to address conditions that cause significant morbidity and disability, but which traditionally have less per-patient research funding. Across this Cluster are examples of unmet need for </w:t>
      </w:r>
      <w:r w:rsidRPr="00AD5353">
        <w:rPr>
          <w:rFonts w:ascii="Calibri" w:eastAsia="Times New Roman" w:hAnsi="Calibri" w:cs="Calibri"/>
          <w:lang w:eastAsia="en-GB"/>
        </w:rPr>
        <w:lastRenderedPageBreak/>
        <w:t>people with protected characteristics and hidden disabilities including neurodiversity.</w:t>
      </w:r>
      <w:r w:rsidRPr="00AD5353">
        <w:rPr>
          <w:rFonts w:ascii="Calibri" w:eastAsia="Times New Roman" w:hAnsi="Calibri" w:cs="Calibri"/>
          <w:color w:val="000000"/>
          <w:lang w:eastAsia="en-GB"/>
        </w:rPr>
        <w:t> This Cluster focuses on prevention and early diagnosis to reduce long-term disease burden and use novel approaches including gene therapies, digital interventions and devices to transform the lives of patients.   </w:t>
      </w:r>
    </w:p>
    <w:p w14:paraId="5905C27F" w14:textId="77777777" w:rsidR="00813C40" w:rsidRPr="00AD5353" w:rsidRDefault="00813C40" w:rsidP="00813C40">
      <w:pPr>
        <w:shd w:val="clear" w:color="auto" w:fill="FFFFFF"/>
        <w:spacing w:after="0" w:line="240" w:lineRule="auto"/>
        <w:ind w:right="360"/>
        <w:textAlignment w:val="baseline"/>
        <w:rPr>
          <w:rFonts w:ascii="Calibri" w:eastAsia="Times New Roman" w:hAnsi="Calibri" w:cs="Calibri"/>
          <w:b/>
          <w:bCs/>
          <w:u w:val="single"/>
          <w:lang w:eastAsia="en-GB"/>
        </w:rPr>
      </w:pPr>
    </w:p>
    <w:p w14:paraId="4D0358FA" w14:textId="77777777" w:rsidR="00813C40" w:rsidRPr="00E70DBC" w:rsidRDefault="00813C40" w:rsidP="00813C40">
      <w:pPr>
        <w:shd w:val="clear" w:color="auto" w:fill="FFFFFF"/>
        <w:spacing w:after="0" w:line="240" w:lineRule="auto"/>
        <w:ind w:right="360"/>
        <w:textAlignment w:val="baseline"/>
        <w:rPr>
          <w:rFonts w:ascii="Calibri" w:eastAsia="Times New Roman" w:hAnsi="Calibri" w:cs="Calibri"/>
          <w:b/>
          <w:bCs/>
          <w:lang w:eastAsia="en-GB"/>
        </w:rPr>
      </w:pPr>
      <w:r w:rsidRPr="00E70DBC">
        <w:rPr>
          <w:rFonts w:ascii="Calibri" w:eastAsia="Times New Roman" w:hAnsi="Calibri" w:cs="Calibri"/>
          <w:b/>
          <w:bCs/>
          <w:lang w:eastAsia="en-GB"/>
        </w:rPr>
        <w:t>Operational Delivery of overall objectives</w:t>
      </w:r>
    </w:p>
    <w:p w14:paraId="14795CAB" w14:textId="77777777" w:rsidR="00813C40" w:rsidRPr="00AD5353" w:rsidRDefault="00813C40" w:rsidP="00813C40">
      <w:pPr>
        <w:shd w:val="clear" w:color="auto" w:fill="FFFFFF"/>
        <w:spacing w:after="0" w:line="240" w:lineRule="auto"/>
        <w:ind w:right="360"/>
        <w:textAlignment w:val="baseline"/>
        <w:rPr>
          <w:rFonts w:ascii="Calibri" w:eastAsia="Times New Roman" w:hAnsi="Calibri" w:cs="Calibri"/>
          <w:lang w:eastAsia="en-GB"/>
        </w:rPr>
      </w:pPr>
      <w:r w:rsidRPr="00AD5353">
        <w:rPr>
          <w:rFonts w:ascii="Calibri" w:eastAsia="Times New Roman" w:hAnsi="Calibri" w:cs="Calibri"/>
          <w:lang w:eastAsia="en-GB"/>
        </w:rPr>
        <w:t> </w:t>
      </w:r>
    </w:p>
    <w:p w14:paraId="0EE4CA8A" w14:textId="77777777" w:rsidR="00813C40" w:rsidRPr="00AD5353" w:rsidRDefault="00813C40" w:rsidP="00813C40">
      <w:pPr>
        <w:shd w:val="clear" w:color="auto" w:fill="FFFFFF"/>
        <w:spacing w:after="0" w:line="240" w:lineRule="auto"/>
        <w:ind w:right="360"/>
        <w:textAlignment w:val="baseline"/>
        <w:rPr>
          <w:rFonts w:ascii="Calibri" w:eastAsia="Times New Roman" w:hAnsi="Calibri" w:cs="Calibri"/>
          <w:lang w:eastAsia="en-GB"/>
        </w:rPr>
      </w:pPr>
      <w:r w:rsidRPr="00AD5353">
        <w:rPr>
          <w:rFonts w:ascii="Calibri" w:eastAsia="Times New Roman" w:hAnsi="Calibri" w:cs="Calibri"/>
          <w:color w:val="000000"/>
          <w:lang w:eastAsia="en-GB"/>
        </w:rPr>
        <w:t xml:space="preserve">The BRC Operations Director coordinates the </w:t>
      </w:r>
      <w:r w:rsidRPr="00AD5353">
        <w:rPr>
          <w:rFonts w:ascii="Calibri" w:eastAsia="Times New Roman" w:hAnsi="Calibri" w:cs="Calibri"/>
          <w:b/>
          <w:bCs/>
          <w:color w:val="000000"/>
          <w:lang w:eastAsia="en-GB"/>
        </w:rPr>
        <w:t xml:space="preserve">BRC Core Team </w:t>
      </w:r>
      <w:r w:rsidRPr="00AD5353">
        <w:rPr>
          <w:rFonts w:ascii="Calibri" w:eastAsia="Times New Roman" w:hAnsi="Calibri" w:cs="Calibri"/>
          <w:color w:val="000000"/>
          <w:lang w:eastAsia="en-GB"/>
        </w:rPr>
        <w:t>comprising specialist Theme and Project Managers</w:t>
      </w:r>
      <w:r w:rsidRPr="00AD5353">
        <w:rPr>
          <w:rFonts w:ascii="Calibri" w:eastAsia="Times New Roman" w:hAnsi="Calibri" w:cs="Calibri"/>
          <w:lang w:eastAsia="en-GB"/>
        </w:rPr>
        <w:t xml:space="preserve"> driving delivery across themes and strategic areas including Core Funding, Capacity Building, Industry and Partnerships, Performance and Data management to ensure consistent and aligned practice across Manchester BRC. Our Core Team supports Themes, Clusters and strategic areas to monitor progress against SMART objectives, providing regular assessment of scientific progress and financial performance. If required further decision-making is escalated through Clusters to the Strategic Executive (see Governance). </w:t>
      </w:r>
    </w:p>
    <w:p w14:paraId="7A3ACF5E" w14:textId="77777777" w:rsidR="00813C40" w:rsidRPr="00AD5353" w:rsidRDefault="00813C40" w:rsidP="00813C40">
      <w:pPr>
        <w:shd w:val="clear" w:color="auto" w:fill="FFFFFF"/>
        <w:spacing w:after="0" w:line="240" w:lineRule="auto"/>
        <w:textAlignment w:val="baseline"/>
        <w:rPr>
          <w:rFonts w:ascii="Calibri" w:eastAsia="Times New Roman" w:hAnsi="Calibri" w:cs="Calibri"/>
          <w:b/>
          <w:bCs/>
          <w:u w:val="single"/>
          <w:lang w:eastAsia="en-GB"/>
        </w:rPr>
      </w:pPr>
    </w:p>
    <w:p w14:paraId="3D32550A" w14:textId="77777777" w:rsidR="00813C40" w:rsidRPr="00AD5353" w:rsidRDefault="00813C40" w:rsidP="00813C40">
      <w:pPr>
        <w:rPr>
          <w:rFonts w:ascii="Calibri" w:eastAsia="Calibri" w:hAnsi="Calibri" w:cs="Calibri"/>
          <w:b/>
          <w:color w:val="000000"/>
        </w:rPr>
      </w:pPr>
      <w:r w:rsidRPr="00AD5353">
        <w:rPr>
          <w:rFonts w:ascii="Calibri" w:eastAsia="Calibri" w:hAnsi="Calibri" w:cs="Calibri"/>
          <w:b/>
          <w:color w:val="000000"/>
        </w:rPr>
        <w:t>Capacity Building</w:t>
      </w:r>
    </w:p>
    <w:p w14:paraId="4EF53F44" w14:textId="77777777" w:rsidR="00813C40" w:rsidRPr="00422E69" w:rsidRDefault="00813C40" w:rsidP="00813C40">
      <w:pPr>
        <w:rPr>
          <w:rFonts w:ascii="Calibri" w:eastAsia="Calibri" w:hAnsi="Calibri" w:cs="Calibri"/>
          <w:color w:val="000000"/>
        </w:rPr>
      </w:pPr>
      <w:r w:rsidRPr="00AD5353">
        <w:rPr>
          <w:rFonts w:ascii="Calibri" w:eastAsia="Calibri" w:hAnsi="Calibri" w:cs="Calibri"/>
          <w:color w:val="000000"/>
        </w:rPr>
        <w:t>The BRC is committed to supporting and developing our student population and workforce and building experimental medicine capacity. Our Capacity Building Lead</w:t>
      </w:r>
      <w:r w:rsidRPr="00AD5353">
        <w:rPr>
          <w:rFonts w:ascii="Calibri" w:eastAsia="Calibri" w:hAnsi="Calibri" w:cs="Calibri"/>
          <w:b/>
          <w:bCs/>
          <w:color w:val="000000"/>
        </w:rPr>
        <w:t xml:space="preserve"> </w:t>
      </w:r>
      <w:r w:rsidRPr="00AD5353">
        <w:rPr>
          <w:rFonts w:ascii="Calibri" w:eastAsia="Calibri" w:hAnsi="Calibri" w:cs="Calibri"/>
          <w:color w:val="000000"/>
        </w:rPr>
        <w:t xml:space="preserve">sits on our Strategic Executive and leads a multidisciplinary Capacity and Training Group representing key BRC professional and methodological groups. </w:t>
      </w:r>
      <w:r>
        <w:rPr>
          <w:rFonts w:ascii="Calibri" w:eastAsia="Calibri" w:hAnsi="Calibri" w:cs="Calibri"/>
          <w:color w:val="000000"/>
        </w:rPr>
        <w:t xml:space="preserve">The Capacity Building team </w:t>
      </w:r>
      <w:r w:rsidRPr="00AD5353">
        <w:rPr>
          <w:rFonts w:ascii="Calibri" w:eastAsia="Calibri" w:hAnsi="Calibri" w:cs="Calibri"/>
          <w:color w:val="000000"/>
        </w:rPr>
        <w:t xml:space="preserve">co-ordinates strategic investment in training and capacity building and monitors delivery. Working with our EDI leads, NHS/University partners and the NIHR Academy the BRC focuses on supporting diverse talent and equality of access whilst widening training opportunities across Greater Manchester, Lancashire and South Cumbria localities. </w:t>
      </w:r>
    </w:p>
    <w:p w14:paraId="3188FD5A" w14:textId="77777777" w:rsidR="00813C40" w:rsidRPr="00AD5353" w:rsidRDefault="00813C40" w:rsidP="00813C40">
      <w:pPr>
        <w:rPr>
          <w:rFonts w:ascii="Calibri" w:eastAsia="Calibri" w:hAnsi="Calibri" w:cs="Calibri"/>
          <w:color w:val="000000"/>
        </w:rPr>
      </w:pPr>
      <w:r w:rsidRPr="00AD5353">
        <w:rPr>
          <w:rFonts w:ascii="Calibri" w:eastAsia="Calibri" w:hAnsi="Calibri" w:cs="Calibri"/>
          <w:b/>
          <w:color w:val="000000"/>
        </w:rPr>
        <w:t>Intellectual Property (IP) and Commercialisation</w:t>
      </w:r>
    </w:p>
    <w:p w14:paraId="6F6C43E1" w14:textId="77777777" w:rsidR="00813C40" w:rsidRPr="00AD5353" w:rsidRDefault="00813C40" w:rsidP="00813C40">
      <w:pPr>
        <w:rPr>
          <w:rFonts w:ascii="Calibri" w:eastAsia="Calibri" w:hAnsi="Calibri" w:cs="Calibri"/>
        </w:rPr>
      </w:pPr>
      <w:r w:rsidRPr="00AD5353">
        <w:rPr>
          <w:rFonts w:ascii="Calibri" w:eastAsia="Calibri" w:hAnsi="Calibri" w:cs="Calibri"/>
        </w:rPr>
        <w:t xml:space="preserve">Manchester BRC benefits from a comprehensive IP and commercialisation support infrastructure across the MFT-UoM partnership. This includes joint Strategic Oversight and Operational groups across UoM and partner Trusts, a Memorandum of Understanding around jointly developed IP, and agreed processes for IP capture and commercial assessment. Annual audits of our portfolio with the NIHR IP Team enables identification of commercially attractive research for further support and investment. The BRC Industry Lead is a member of our Strategic Executive and our Industry Team, in collaboration with UoM and partner Trusts, ensures effective management of our commercial partners across organisations. </w:t>
      </w:r>
    </w:p>
    <w:p w14:paraId="2774F4F1" w14:textId="77777777" w:rsidR="00813C40" w:rsidRPr="00AD5353" w:rsidRDefault="00813C40" w:rsidP="00813C40">
      <w:pPr>
        <w:rPr>
          <w:rFonts w:ascii="Calibri" w:eastAsia="Calibri" w:hAnsi="Calibri" w:cs="Calibri"/>
          <w:b/>
          <w:bCs/>
        </w:rPr>
      </w:pPr>
      <w:r w:rsidRPr="00AD5353">
        <w:rPr>
          <w:rFonts w:ascii="Calibri" w:eastAsia="Calibri" w:hAnsi="Calibri" w:cs="Calibri"/>
          <w:b/>
          <w:bCs/>
        </w:rPr>
        <w:t>Strategic core funding</w:t>
      </w:r>
    </w:p>
    <w:p w14:paraId="4CE59219" w14:textId="77777777" w:rsidR="00813C40" w:rsidRPr="00AD5353" w:rsidRDefault="00813C40" w:rsidP="00813C40">
      <w:pPr>
        <w:rPr>
          <w:rFonts w:ascii="Calibri" w:eastAsia="Calibri" w:hAnsi="Calibri" w:cs="Calibri"/>
        </w:rPr>
      </w:pPr>
      <w:r w:rsidRPr="00AD5353">
        <w:rPr>
          <w:rFonts w:ascii="Calibri" w:eastAsia="Calibri" w:hAnsi="Calibri" w:cs="Calibri"/>
        </w:rPr>
        <w:t>Manchester BRC invests in our workforce through funding and placement schemes, alongside bespoke opportunities to support career progression. We also hold regular pump priming funding calls to invest in areas of strategic priority and also horizon scan to support new and emerging areas of potential.</w:t>
      </w:r>
    </w:p>
    <w:p w14:paraId="1E22AD0A" w14:textId="77777777" w:rsidR="00813C40" w:rsidRPr="00AD5353" w:rsidRDefault="00813C40" w:rsidP="00813C40">
      <w:pPr>
        <w:rPr>
          <w:rFonts w:ascii="Calibri" w:eastAsia="Calibri" w:hAnsi="Calibri" w:cs="Calibri"/>
          <w:b/>
          <w:bCs/>
        </w:rPr>
      </w:pPr>
      <w:r w:rsidRPr="00AD5353">
        <w:rPr>
          <w:rFonts w:ascii="Calibri" w:eastAsia="Calibri" w:hAnsi="Calibri" w:cs="Calibri"/>
          <w:b/>
          <w:bCs/>
        </w:rPr>
        <w:t>Communications</w:t>
      </w:r>
    </w:p>
    <w:p w14:paraId="335517F3" w14:textId="77777777" w:rsidR="00813C40" w:rsidRPr="00AD5353" w:rsidRDefault="00813C40" w:rsidP="00813C40">
      <w:pPr>
        <w:tabs>
          <w:tab w:val="left" w:pos="7088"/>
        </w:tabs>
        <w:rPr>
          <w:rFonts w:ascii="Calibri" w:eastAsia="MS Mincho" w:hAnsi="Calibri" w:cs="Calibri"/>
          <w:color w:val="000000"/>
        </w:rPr>
      </w:pPr>
      <w:r w:rsidRPr="00AD5353">
        <w:rPr>
          <w:rFonts w:ascii="Calibri" w:eastAsia="MS Mincho" w:hAnsi="Calibri" w:cs="Calibri"/>
          <w:color w:val="000000"/>
        </w:rPr>
        <w:t xml:space="preserve">The Manchester BRC communications team reports to the Strategic Executive and is part of a GM-wide communications network co-ordinated through local and regional partners. We prioritise accessible communications in a variety of formats and to a range of audiences. We have well-established links to NIHR and other national funding partners, we publish regular newsletters and blogs to key stakeholders, and maintain an active social media presence (including X, LinkedIn) with the NIHR Manchester BRC </w:t>
      </w:r>
      <w:r w:rsidRPr="00AD5353">
        <w:rPr>
          <w:rFonts w:ascii="Calibri" w:eastAsia="MS Mincho" w:hAnsi="Calibri" w:cs="Calibri"/>
          <w:color w:val="000000"/>
        </w:rPr>
        <w:lastRenderedPageBreak/>
        <w:t xml:space="preserve">website a primary source of information and evidence of our impact. Peer-review publications are, wherever possible made Open Access and we link with Policy@Manchester to widen impact for our key academic outputs.    </w:t>
      </w:r>
    </w:p>
    <w:p w14:paraId="62848B69" w14:textId="77777777" w:rsidR="00813C40" w:rsidRPr="00AD5353" w:rsidRDefault="00813C40" w:rsidP="00813C40">
      <w:pPr>
        <w:tabs>
          <w:tab w:val="left" w:pos="7088"/>
        </w:tabs>
        <w:rPr>
          <w:rFonts w:ascii="Calibri" w:eastAsia="MS Mincho" w:hAnsi="Calibri" w:cs="Calibri"/>
          <w:b/>
          <w:bCs/>
          <w:color w:val="000000"/>
        </w:rPr>
      </w:pPr>
      <w:r w:rsidRPr="00AD5353">
        <w:rPr>
          <w:rFonts w:ascii="Calibri" w:eastAsia="MS Mincho" w:hAnsi="Calibri" w:cs="Calibri"/>
          <w:b/>
          <w:bCs/>
          <w:color w:val="000000"/>
        </w:rPr>
        <w:t>Impact</w:t>
      </w:r>
    </w:p>
    <w:p w14:paraId="11E51596" w14:textId="77777777" w:rsidR="00813C40" w:rsidRPr="00AD5353" w:rsidRDefault="00813C40" w:rsidP="00813C40">
      <w:pPr>
        <w:spacing w:after="0" w:line="240" w:lineRule="auto"/>
        <w:textAlignment w:val="baseline"/>
        <w:rPr>
          <w:rFonts w:ascii="Segoe UI" w:eastAsia="Times New Roman" w:hAnsi="Segoe UI" w:cs="Segoe UI"/>
          <w:sz w:val="18"/>
          <w:szCs w:val="18"/>
          <w:lang w:eastAsia="en-GB"/>
        </w:rPr>
      </w:pPr>
      <w:r w:rsidRPr="00AD5353">
        <w:rPr>
          <w:rFonts w:ascii="Calibri" w:eastAsia="Times New Roman" w:hAnsi="Calibri" w:cs="Calibri"/>
          <w:lang w:eastAsia="en-GB"/>
        </w:rPr>
        <w:t>Capturing the impact of the work of the BRC is a priority. Not only is this a condition of our funding, but it keeps the focus on our patients and communities at the heart of all we do.  </w:t>
      </w:r>
    </w:p>
    <w:p w14:paraId="1C79D830"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For the NIHR, research impact is about making a meaningful difference to people’s lives through the research it funds and supports, making a difference to wider society and effecting meaningful change i.e. an effect or benefit.  </w:t>
      </w:r>
    </w:p>
    <w:p w14:paraId="096761DD" w14:textId="77777777" w:rsidR="00813C40" w:rsidRPr="00AD5353" w:rsidRDefault="00813C40" w:rsidP="00813C40">
      <w:pPr>
        <w:spacing w:after="0" w:line="240" w:lineRule="auto"/>
        <w:textAlignment w:val="baseline"/>
        <w:rPr>
          <w:rFonts w:ascii="Segoe UI" w:eastAsia="Times New Roman" w:hAnsi="Segoe UI" w:cs="Segoe UI"/>
          <w:sz w:val="18"/>
          <w:szCs w:val="18"/>
          <w:lang w:eastAsia="en-GB"/>
        </w:rPr>
      </w:pPr>
      <w:r w:rsidRPr="00AD5353">
        <w:rPr>
          <w:rFonts w:ascii="Calibri" w:eastAsia="Times New Roman" w:hAnsi="Calibri" w:cs="Calibri"/>
          <w:lang w:eastAsia="en-GB"/>
        </w:rPr>
        <w:t xml:space="preserve">We submit a range of impact case studies to the NIHR, sharing these across our communication channels and record planned and achieved impact across our themes and programmes regularly to amplify and support progression through the translational pathway within the ecosystem. </w:t>
      </w:r>
    </w:p>
    <w:p w14:paraId="5E220625" w14:textId="77777777" w:rsidR="00813C40" w:rsidRPr="002723DE" w:rsidRDefault="00813C40" w:rsidP="00813C40">
      <w:pPr>
        <w:shd w:val="clear" w:color="auto" w:fill="FFFFFF"/>
        <w:spacing w:after="0" w:line="240" w:lineRule="auto"/>
        <w:textAlignment w:val="baseline"/>
        <w:rPr>
          <w:rFonts w:ascii="Calibri" w:eastAsia="Times New Roman" w:hAnsi="Calibri" w:cs="Calibri"/>
          <w:b/>
          <w:bCs/>
          <w:lang w:eastAsia="en-GB"/>
        </w:rPr>
      </w:pPr>
    </w:p>
    <w:p w14:paraId="5A528F62" w14:textId="77777777" w:rsidR="00813C40" w:rsidRPr="002D4FB2" w:rsidRDefault="00813C40" w:rsidP="00813C40">
      <w:pPr>
        <w:shd w:val="clear" w:color="auto" w:fill="FFFFFF"/>
        <w:spacing w:after="0" w:line="240" w:lineRule="auto"/>
        <w:ind w:right="360"/>
        <w:textAlignment w:val="baseline"/>
        <w:rPr>
          <w:rFonts w:ascii="Calibri" w:eastAsia="Times New Roman" w:hAnsi="Calibri" w:cs="Calibri"/>
          <w:lang w:eastAsia="en-GB"/>
        </w:rPr>
      </w:pPr>
      <w:r w:rsidRPr="002D4FB2">
        <w:rPr>
          <w:rFonts w:ascii="Calibri" w:eastAsia="Times New Roman" w:hAnsi="Calibri" w:cs="Calibri"/>
          <w:b/>
          <w:bCs/>
          <w:color w:val="362B36"/>
          <w:lang w:eastAsia="en-GB"/>
        </w:rPr>
        <w:t xml:space="preserve">Strategic Partners </w:t>
      </w:r>
    </w:p>
    <w:p w14:paraId="2C53898E"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 </w:t>
      </w:r>
    </w:p>
    <w:p w14:paraId="1BD0D618" w14:textId="77777777" w:rsidR="00813C40" w:rsidRPr="00AD5353" w:rsidRDefault="00813C40" w:rsidP="00813C40">
      <w:pPr>
        <w:spacing w:after="0" w:line="240" w:lineRule="auto"/>
        <w:textAlignment w:val="baseline"/>
        <w:rPr>
          <w:rFonts w:ascii="Calibri" w:eastAsia="Times New Roman" w:hAnsi="Calibri" w:cs="Calibri"/>
          <w:lang w:eastAsia="en-GB"/>
        </w:rPr>
      </w:pPr>
      <w:r>
        <w:rPr>
          <w:rFonts w:ascii="Calibri" w:eastAsia="Times New Roman" w:hAnsi="Calibri" w:cs="Calibri"/>
          <w:lang w:eastAsia="en-GB"/>
        </w:rPr>
        <w:t>NIHR Manchester BRC is</w:t>
      </w:r>
      <w:r w:rsidRPr="00AD5353">
        <w:rPr>
          <w:rFonts w:ascii="Calibri" w:eastAsia="Times New Roman" w:hAnsi="Calibri" w:cs="Calibri"/>
          <w:lang w:eastAsia="en-GB"/>
        </w:rPr>
        <w:t xml:space="preserve"> at the heart of a city-region with an economic vision to generate £7bn of inward investment and 100,000 jobs to deliver a fairer, greener and more productive local economy. Innovation GM will drive this vision and establish Innovation Zones (including Innovation District Manchester, £1.5bn). Through our Industry Advisory Board and partnerships team, we are expanding collaboration and co-development opportunities by attracting and embedding pharma and SMEs into our </w:t>
      </w:r>
      <w:r>
        <w:rPr>
          <w:rFonts w:ascii="Calibri" w:eastAsia="Times New Roman" w:hAnsi="Calibri" w:cs="Calibri"/>
          <w:lang w:eastAsia="en-GB"/>
        </w:rPr>
        <w:t>work</w:t>
      </w:r>
      <w:r w:rsidRPr="00AD5353">
        <w:rPr>
          <w:rFonts w:ascii="Calibri" w:eastAsia="Times New Roman" w:hAnsi="Calibri" w:cs="Calibri"/>
          <w:lang w:eastAsia="en-GB"/>
        </w:rPr>
        <w:t xml:space="preserve">. We actively seek </w:t>
      </w:r>
      <w:r w:rsidRPr="00AD5353">
        <w:rPr>
          <w:rFonts w:ascii="Calibri" w:eastAsia="Times New Roman" w:hAnsi="Calibri" w:cs="Calibri"/>
          <w:color w:val="000000"/>
          <w:lang w:eastAsia="en-GB"/>
        </w:rPr>
        <w:t>additional partnerships to optimise commercialisation and further develop our research capacity</w:t>
      </w:r>
      <w:r w:rsidRPr="00AD5353">
        <w:rPr>
          <w:rFonts w:ascii="Calibri" w:eastAsia="Times New Roman" w:hAnsi="Calibri" w:cs="Calibri"/>
          <w:lang w:eastAsia="en-GB"/>
        </w:rPr>
        <w:t>.   </w:t>
      </w:r>
    </w:p>
    <w:p w14:paraId="35B21177" w14:textId="77777777" w:rsidR="00813C40" w:rsidRPr="00AD5353" w:rsidRDefault="00813C40" w:rsidP="00813C40">
      <w:pPr>
        <w:shd w:val="clear" w:color="auto" w:fill="FFFFFF"/>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  </w:t>
      </w:r>
    </w:p>
    <w:p w14:paraId="0B54C54B"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color w:val="000000"/>
          <w:lang w:eastAsia="en-GB"/>
        </w:rPr>
        <w:t xml:space="preserve">Our long-standing partnerships with charities enable us </w:t>
      </w:r>
      <w:r w:rsidRPr="00AD5353">
        <w:rPr>
          <w:rFonts w:ascii="Calibri" w:eastAsia="Times New Roman" w:hAnsi="Calibri" w:cs="Calibri"/>
          <w:lang w:eastAsia="en-GB"/>
        </w:rPr>
        <w:t>to influence and inform strategy and attract investment to accelerate translation (e.g. Wellcome Trust Translational Partnership Award), build capacity (CRUK and Kennedy Trust (inflammation) MB-PhD programmes), and support the work of Clusters (CRUK Major Centre, CRUK-MI, the Paterson Institute and Versus Arthritis Centres)</w:t>
      </w:r>
    </w:p>
    <w:p w14:paraId="4E219787"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 </w:t>
      </w:r>
    </w:p>
    <w:p w14:paraId="79BEE23E" w14:textId="77777777" w:rsidR="00813C40" w:rsidRPr="00AD5353" w:rsidRDefault="00813C40" w:rsidP="00813C40">
      <w:pPr>
        <w:spacing w:after="0" w:line="240" w:lineRule="auto"/>
        <w:textAlignment w:val="baseline"/>
        <w:rPr>
          <w:rFonts w:ascii="Calibri" w:eastAsia="Times New Roman" w:hAnsi="Calibri" w:cs="Calibri"/>
          <w:lang w:eastAsia="en-GB"/>
        </w:rPr>
      </w:pPr>
      <w:r w:rsidRPr="00AD5353">
        <w:rPr>
          <w:rFonts w:ascii="Calibri" w:eastAsia="Times New Roman" w:hAnsi="Calibri" w:cs="Calibri"/>
          <w:lang w:eastAsia="en-GB"/>
        </w:rPr>
        <w:t>We continue to expand our links with other BRCs</w:t>
      </w:r>
      <w:r>
        <w:rPr>
          <w:rFonts w:ascii="Calibri" w:eastAsia="Times New Roman" w:hAnsi="Calibri" w:cs="Calibri"/>
          <w:lang w:eastAsia="en-GB"/>
        </w:rPr>
        <w:t xml:space="preserve"> and NIHR initiatives including</w:t>
      </w:r>
      <w:r w:rsidRPr="00AD5353">
        <w:rPr>
          <w:rFonts w:ascii="Calibri" w:eastAsia="Times New Roman" w:hAnsi="Calibri" w:cs="Calibri"/>
          <w:lang w:eastAsia="en-GB"/>
        </w:rPr>
        <w:t xml:space="preserve"> NIHR BioResource and NIHR Translational Research Collaborations (TRCs). </w:t>
      </w:r>
    </w:p>
    <w:p w14:paraId="2AFA5A50" w14:textId="77777777" w:rsidR="00813C40" w:rsidRPr="00AD5353" w:rsidRDefault="00813C40" w:rsidP="00813C40">
      <w:pPr>
        <w:spacing w:after="0" w:line="240" w:lineRule="auto"/>
        <w:textAlignment w:val="baseline"/>
        <w:rPr>
          <w:rFonts w:ascii="Calibri" w:eastAsia="Times New Roman" w:hAnsi="Calibri" w:cs="Calibri"/>
          <w:lang w:eastAsia="en-GB"/>
        </w:rPr>
      </w:pPr>
    </w:p>
    <w:p w14:paraId="61677737" w14:textId="77777777" w:rsidR="00813C40" w:rsidRPr="00AD5353" w:rsidRDefault="00813C40" w:rsidP="00813C40">
      <w:pPr>
        <w:shd w:val="clear" w:color="auto" w:fill="FFFFFF"/>
        <w:spacing w:after="0" w:line="240" w:lineRule="auto"/>
        <w:textAlignment w:val="baseline"/>
        <w:rPr>
          <w:rFonts w:ascii="Calibri" w:eastAsia="Times New Roman" w:hAnsi="Calibri" w:cs="Calibri"/>
          <w:lang w:eastAsia="en-GB"/>
        </w:rPr>
      </w:pPr>
      <w:r w:rsidRPr="00AD5353">
        <w:rPr>
          <w:rFonts w:ascii="Calibri" w:eastAsia="Times New Roman" w:hAnsi="Calibri" w:cs="Calibri"/>
          <w:color w:val="000000"/>
          <w:lang w:eastAsia="en-GB"/>
        </w:rPr>
        <w:t>We have extended our reach across the UK with Queen’s University Belfast, in several areas of research. Globally, our work with Kenya brings innovations in cancer (Radiotherapy, Prevention and Early Detection) to the Global South to support sustainable health and care solutions and International Development. </w:t>
      </w:r>
    </w:p>
    <w:p w14:paraId="598315F6" w14:textId="1258C81B" w:rsidR="0008987E" w:rsidRPr="00BE451F" w:rsidRDefault="0008987E" w:rsidP="78CDD1B0">
      <w:pPr>
        <w:rPr>
          <w:rFonts w:cstheme="minorHAnsi"/>
        </w:rPr>
      </w:pPr>
    </w:p>
    <w:sectPr w:rsidR="0008987E" w:rsidRPr="00BE451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4B135" w14:textId="77777777" w:rsidR="00A967FA" w:rsidRDefault="00A967FA" w:rsidP="00037EB6">
      <w:pPr>
        <w:spacing w:after="0" w:line="240" w:lineRule="auto"/>
      </w:pPr>
      <w:r>
        <w:separator/>
      </w:r>
    </w:p>
  </w:endnote>
  <w:endnote w:type="continuationSeparator" w:id="0">
    <w:p w14:paraId="79C135FD" w14:textId="77777777" w:rsidR="00A967FA" w:rsidRDefault="00A967FA" w:rsidP="00037EB6">
      <w:pPr>
        <w:spacing w:after="0" w:line="240" w:lineRule="auto"/>
      </w:pPr>
      <w:r>
        <w:continuationSeparator/>
      </w:r>
    </w:p>
  </w:endnote>
  <w:endnote w:type="continuationNotice" w:id="1">
    <w:p w14:paraId="52427350" w14:textId="77777777" w:rsidR="00A967FA" w:rsidRDefault="00A967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23CCC" w14:textId="06A34F88" w:rsidR="00C17C0A" w:rsidRDefault="009D6989">
    <w:pPr>
      <w:pStyle w:val="Footer"/>
    </w:pPr>
    <w:r>
      <w:t xml:space="preserve">NIHR Manchester </w:t>
    </w:r>
    <w:r w:rsidR="00C17C0A">
      <w:t>BR</w:t>
    </w:r>
    <w:r w:rsidR="00FD086A">
      <w:t xml:space="preserve">C </w:t>
    </w:r>
    <w:r w:rsidR="00F417F9">
      <w:t>Overview (</w:t>
    </w:r>
    <w:r w:rsidR="00E8081A">
      <w:t>November</w:t>
    </w:r>
    <w:r w:rsidR="006F75F6">
      <w:t xml:space="preserve"> 2024</w:t>
    </w:r>
    <w:r w:rsidR="00F417F9">
      <w:t>)</w:t>
    </w:r>
    <w:r w:rsidR="00F417F9">
      <w:tab/>
    </w:r>
    <w:r w:rsidR="00AC44A7">
      <w:tab/>
    </w:r>
    <w:r w:rsidR="00C45A37">
      <w:fldChar w:fldCharType="begin"/>
    </w:r>
    <w:r w:rsidR="00C45A37">
      <w:instrText xml:space="preserve"> PAGE   \* MERGEFORMAT </w:instrText>
    </w:r>
    <w:r w:rsidR="00C45A37">
      <w:fldChar w:fldCharType="separate"/>
    </w:r>
    <w:r w:rsidR="009965E0">
      <w:rPr>
        <w:noProof/>
      </w:rPr>
      <w:t>1</w:t>
    </w:r>
    <w:r w:rsidR="00C45A3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62D9C" w14:textId="77777777" w:rsidR="00A967FA" w:rsidRDefault="00A967FA" w:rsidP="00037EB6">
      <w:pPr>
        <w:spacing w:after="0" w:line="240" w:lineRule="auto"/>
      </w:pPr>
      <w:r>
        <w:separator/>
      </w:r>
    </w:p>
  </w:footnote>
  <w:footnote w:type="continuationSeparator" w:id="0">
    <w:p w14:paraId="102799F3" w14:textId="77777777" w:rsidR="00A967FA" w:rsidRDefault="00A967FA" w:rsidP="00037EB6">
      <w:pPr>
        <w:spacing w:after="0" w:line="240" w:lineRule="auto"/>
      </w:pPr>
      <w:r>
        <w:continuationSeparator/>
      </w:r>
    </w:p>
  </w:footnote>
  <w:footnote w:type="continuationNotice" w:id="1">
    <w:p w14:paraId="5A1EB37B" w14:textId="77777777" w:rsidR="00A967FA" w:rsidRDefault="00A967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B48E4" w14:textId="3B533C4C" w:rsidR="00037EB6" w:rsidRDefault="00037EB6">
    <w:pPr>
      <w:pStyle w:val="Header"/>
    </w:pPr>
    <w:r w:rsidRPr="00C90375">
      <w:rPr>
        <w:noProof/>
        <w:lang w:eastAsia="en-GB"/>
      </w:rPr>
      <w:drawing>
        <wp:anchor distT="0" distB="0" distL="114300" distR="114300" simplePos="0" relativeHeight="251658240" behindDoc="0" locked="0" layoutInCell="1" allowOverlap="1" wp14:anchorId="033D0D59" wp14:editId="4FF78F2B">
          <wp:simplePos x="0" y="0"/>
          <wp:positionH relativeFrom="margin">
            <wp:posOffset>0</wp:posOffset>
          </wp:positionH>
          <wp:positionV relativeFrom="margin">
            <wp:posOffset>-619125</wp:posOffset>
          </wp:positionV>
          <wp:extent cx="2844000" cy="615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an3\Downloads\NIHR logo no excl zone COL.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4000" cy="6156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77CD5"/>
    <w:multiLevelType w:val="hybridMultilevel"/>
    <w:tmpl w:val="5F20D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C3810"/>
    <w:multiLevelType w:val="hybridMultilevel"/>
    <w:tmpl w:val="D5D4DA1A"/>
    <w:lvl w:ilvl="0" w:tplc="A9F0DFB0">
      <w:start w:val="1"/>
      <w:numFmt w:val="bullet"/>
      <w:lvlText w:val=""/>
      <w:lvlJc w:val="left"/>
      <w:pPr>
        <w:ind w:left="720" w:hanging="360"/>
      </w:pPr>
      <w:rPr>
        <w:rFonts w:ascii="Symbol" w:hAnsi="Symbol" w:hint="default"/>
      </w:rPr>
    </w:lvl>
    <w:lvl w:ilvl="1" w:tplc="F9085272">
      <w:start w:val="1"/>
      <w:numFmt w:val="bullet"/>
      <w:lvlText w:val="o"/>
      <w:lvlJc w:val="left"/>
      <w:pPr>
        <w:ind w:left="1440" w:hanging="360"/>
      </w:pPr>
      <w:rPr>
        <w:rFonts w:ascii="Courier New" w:hAnsi="Courier New" w:hint="default"/>
      </w:rPr>
    </w:lvl>
    <w:lvl w:ilvl="2" w:tplc="5402517A">
      <w:start w:val="1"/>
      <w:numFmt w:val="bullet"/>
      <w:lvlText w:val=""/>
      <w:lvlJc w:val="left"/>
      <w:pPr>
        <w:ind w:left="2160" w:hanging="360"/>
      </w:pPr>
      <w:rPr>
        <w:rFonts w:ascii="Wingdings" w:hAnsi="Wingdings" w:hint="default"/>
      </w:rPr>
    </w:lvl>
    <w:lvl w:ilvl="3" w:tplc="4740D4B6">
      <w:start w:val="1"/>
      <w:numFmt w:val="bullet"/>
      <w:lvlText w:val=""/>
      <w:lvlJc w:val="left"/>
      <w:pPr>
        <w:ind w:left="2880" w:hanging="360"/>
      </w:pPr>
      <w:rPr>
        <w:rFonts w:ascii="Symbol" w:hAnsi="Symbol" w:hint="default"/>
      </w:rPr>
    </w:lvl>
    <w:lvl w:ilvl="4" w:tplc="D8E69520">
      <w:start w:val="1"/>
      <w:numFmt w:val="bullet"/>
      <w:lvlText w:val="o"/>
      <w:lvlJc w:val="left"/>
      <w:pPr>
        <w:ind w:left="3600" w:hanging="360"/>
      </w:pPr>
      <w:rPr>
        <w:rFonts w:ascii="Courier New" w:hAnsi="Courier New" w:hint="default"/>
      </w:rPr>
    </w:lvl>
    <w:lvl w:ilvl="5" w:tplc="88F0039A">
      <w:start w:val="1"/>
      <w:numFmt w:val="bullet"/>
      <w:lvlText w:val=""/>
      <w:lvlJc w:val="left"/>
      <w:pPr>
        <w:ind w:left="4320" w:hanging="360"/>
      </w:pPr>
      <w:rPr>
        <w:rFonts w:ascii="Wingdings" w:hAnsi="Wingdings" w:hint="default"/>
      </w:rPr>
    </w:lvl>
    <w:lvl w:ilvl="6" w:tplc="8262675C">
      <w:start w:val="1"/>
      <w:numFmt w:val="bullet"/>
      <w:lvlText w:val=""/>
      <w:lvlJc w:val="left"/>
      <w:pPr>
        <w:ind w:left="5040" w:hanging="360"/>
      </w:pPr>
      <w:rPr>
        <w:rFonts w:ascii="Symbol" w:hAnsi="Symbol" w:hint="default"/>
      </w:rPr>
    </w:lvl>
    <w:lvl w:ilvl="7" w:tplc="8B6C31B6">
      <w:start w:val="1"/>
      <w:numFmt w:val="bullet"/>
      <w:lvlText w:val="o"/>
      <w:lvlJc w:val="left"/>
      <w:pPr>
        <w:ind w:left="5760" w:hanging="360"/>
      </w:pPr>
      <w:rPr>
        <w:rFonts w:ascii="Courier New" w:hAnsi="Courier New" w:hint="default"/>
      </w:rPr>
    </w:lvl>
    <w:lvl w:ilvl="8" w:tplc="629C59BE">
      <w:start w:val="1"/>
      <w:numFmt w:val="bullet"/>
      <w:lvlText w:val=""/>
      <w:lvlJc w:val="left"/>
      <w:pPr>
        <w:ind w:left="6480" w:hanging="360"/>
      </w:pPr>
      <w:rPr>
        <w:rFonts w:ascii="Wingdings" w:hAnsi="Wingdings" w:hint="default"/>
      </w:rPr>
    </w:lvl>
  </w:abstractNum>
  <w:abstractNum w:abstractNumId="2" w15:restartNumberingAfterBreak="0">
    <w:nsid w:val="069116A5"/>
    <w:multiLevelType w:val="multilevel"/>
    <w:tmpl w:val="FD2E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6D0705"/>
    <w:multiLevelType w:val="multilevel"/>
    <w:tmpl w:val="F3C4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F11AA4"/>
    <w:multiLevelType w:val="multilevel"/>
    <w:tmpl w:val="6D64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D14861"/>
    <w:multiLevelType w:val="multilevel"/>
    <w:tmpl w:val="D84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D7225F"/>
    <w:multiLevelType w:val="hybridMultilevel"/>
    <w:tmpl w:val="AEEAEDEA"/>
    <w:lvl w:ilvl="0" w:tplc="D884FCE6">
      <w:start w:val="1"/>
      <w:numFmt w:val="bullet"/>
      <w:lvlText w:val="-"/>
      <w:lvlJc w:val="left"/>
      <w:pPr>
        <w:ind w:left="720" w:hanging="360"/>
      </w:pPr>
      <w:rPr>
        <w:rFonts w:ascii="Calibri" w:hAnsi="Calibri" w:hint="default"/>
      </w:rPr>
    </w:lvl>
    <w:lvl w:ilvl="1" w:tplc="B9660580">
      <w:start w:val="1"/>
      <w:numFmt w:val="bullet"/>
      <w:lvlText w:val="o"/>
      <w:lvlJc w:val="left"/>
      <w:pPr>
        <w:ind w:left="1440" w:hanging="360"/>
      </w:pPr>
      <w:rPr>
        <w:rFonts w:ascii="Courier New" w:hAnsi="Courier New" w:hint="default"/>
      </w:rPr>
    </w:lvl>
    <w:lvl w:ilvl="2" w:tplc="5E8ED3E2">
      <w:start w:val="1"/>
      <w:numFmt w:val="bullet"/>
      <w:lvlText w:val=""/>
      <w:lvlJc w:val="left"/>
      <w:pPr>
        <w:ind w:left="2160" w:hanging="360"/>
      </w:pPr>
      <w:rPr>
        <w:rFonts w:ascii="Wingdings" w:hAnsi="Wingdings" w:hint="default"/>
      </w:rPr>
    </w:lvl>
    <w:lvl w:ilvl="3" w:tplc="2D38048A">
      <w:start w:val="1"/>
      <w:numFmt w:val="bullet"/>
      <w:lvlText w:val=""/>
      <w:lvlJc w:val="left"/>
      <w:pPr>
        <w:ind w:left="2880" w:hanging="360"/>
      </w:pPr>
      <w:rPr>
        <w:rFonts w:ascii="Symbol" w:hAnsi="Symbol" w:hint="default"/>
      </w:rPr>
    </w:lvl>
    <w:lvl w:ilvl="4" w:tplc="5C4652DE">
      <w:start w:val="1"/>
      <w:numFmt w:val="bullet"/>
      <w:lvlText w:val="o"/>
      <w:lvlJc w:val="left"/>
      <w:pPr>
        <w:ind w:left="3600" w:hanging="360"/>
      </w:pPr>
      <w:rPr>
        <w:rFonts w:ascii="Courier New" w:hAnsi="Courier New" w:hint="default"/>
      </w:rPr>
    </w:lvl>
    <w:lvl w:ilvl="5" w:tplc="875EA8DC">
      <w:start w:val="1"/>
      <w:numFmt w:val="bullet"/>
      <w:lvlText w:val=""/>
      <w:lvlJc w:val="left"/>
      <w:pPr>
        <w:ind w:left="4320" w:hanging="360"/>
      </w:pPr>
      <w:rPr>
        <w:rFonts w:ascii="Wingdings" w:hAnsi="Wingdings" w:hint="default"/>
      </w:rPr>
    </w:lvl>
    <w:lvl w:ilvl="6" w:tplc="9CD04B4C">
      <w:start w:val="1"/>
      <w:numFmt w:val="bullet"/>
      <w:lvlText w:val=""/>
      <w:lvlJc w:val="left"/>
      <w:pPr>
        <w:ind w:left="5040" w:hanging="360"/>
      </w:pPr>
      <w:rPr>
        <w:rFonts w:ascii="Symbol" w:hAnsi="Symbol" w:hint="default"/>
      </w:rPr>
    </w:lvl>
    <w:lvl w:ilvl="7" w:tplc="334EC952">
      <w:start w:val="1"/>
      <w:numFmt w:val="bullet"/>
      <w:lvlText w:val="o"/>
      <w:lvlJc w:val="left"/>
      <w:pPr>
        <w:ind w:left="5760" w:hanging="360"/>
      </w:pPr>
      <w:rPr>
        <w:rFonts w:ascii="Courier New" w:hAnsi="Courier New" w:hint="default"/>
      </w:rPr>
    </w:lvl>
    <w:lvl w:ilvl="8" w:tplc="FA32E976">
      <w:start w:val="1"/>
      <w:numFmt w:val="bullet"/>
      <w:lvlText w:val=""/>
      <w:lvlJc w:val="left"/>
      <w:pPr>
        <w:ind w:left="6480" w:hanging="360"/>
      </w:pPr>
      <w:rPr>
        <w:rFonts w:ascii="Wingdings" w:hAnsi="Wingdings" w:hint="default"/>
      </w:rPr>
    </w:lvl>
  </w:abstractNum>
  <w:abstractNum w:abstractNumId="7" w15:restartNumberingAfterBreak="0">
    <w:nsid w:val="20AA3FB1"/>
    <w:multiLevelType w:val="multilevel"/>
    <w:tmpl w:val="5C8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EB5965"/>
    <w:multiLevelType w:val="hybridMultilevel"/>
    <w:tmpl w:val="90A6C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127D16"/>
    <w:multiLevelType w:val="multilevel"/>
    <w:tmpl w:val="F0E0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9A37FE"/>
    <w:multiLevelType w:val="hybridMultilevel"/>
    <w:tmpl w:val="B20C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56226E"/>
    <w:multiLevelType w:val="hybridMultilevel"/>
    <w:tmpl w:val="4A0E5CE4"/>
    <w:lvl w:ilvl="0" w:tplc="3DF446AA">
      <w:start w:val="6"/>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715C74"/>
    <w:multiLevelType w:val="hybridMultilevel"/>
    <w:tmpl w:val="4B4623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4CEC33B4"/>
    <w:multiLevelType w:val="multilevel"/>
    <w:tmpl w:val="39D89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C306E5"/>
    <w:multiLevelType w:val="multilevel"/>
    <w:tmpl w:val="4F78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0B48C9"/>
    <w:multiLevelType w:val="multilevel"/>
    <w:tmpl w:val="1A2C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396685"/>
    <w:multiLevelType w:val="multilevel"/>
    <w:tmpl w:val="9F5ADD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1F5B3A"/>
    <w:multiLevelType w:val="hybridMultilevel"/>
    <w:tmpl w:val="09D8F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484BD9"/>
    <w:multiLevelType w:val="hybridMultilevel"/>
    <w:tmpl w:val="590A3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880B7A"/>
    <w:multiLevelType w:val="multilevel"/>
    <w:tmpl w:val="D0E0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1F25F5"/>
    <w:multiLevelType w:val="hybridMultilevel"/>
    <w:tmpl w:val="ACD864F0"/>
    <w:lvl w:ilvl="0" w:tplc="C2E41D30">
      <w:start w:val="1"/>
      <w:numFmt w:val="bullet"/>
      <w:lvlText w:val=""/>
      <w:lvlJc w:val="left"/>
      <w:pPr>
        <w:ind w:left="720" w:hanging="360"/>
      </w:pPr>
      <w:rPr>
        <w:rFonts w:ascii="Symbol" w:hAnsi="Symbol" w:hint="default"/>
      </w:rPr>
    </w:lvl>
    <w:lvl w:ilvl="1" w:tplc="08AE5044">
      <w:start w:val="1"/>
      <w:numFmt w:val="bullet"/>
      <w:lvlText w:val="o"/>
      <w:lvlJc w:val="left"/>
      <w:pPr>
        <w:ind w:left="1440" w:hanging="360"/>
      </w:pPr>
      <w:rPr>
        <w:rFonts w:ascii="Courier New" w:hAnsi="Courier New" w:hint="default"/>
      </w:rPr>
    </w:lvl>
    <w:lvl w:ilvl="2" w:tplc="ADBA4D54">
      <w:start w:val="1"/>
      <w:numFmt w:val="bullet"/>
      <w:lvlText w:val=""/>
      <w:lvlJc w:val="left"/>
      <w:pPr>
        <w:ind w:left="2160" w:hanging="360"/>
      </w:pPr>
      <w:rPr>
        <w:rFonts w:ascii="Wingdings" w:hAnsi="Wingdings" w:hint="default"/>
      </w:rPr>
    </w:lvl>
    <w:lvl w:ilvl="3" w:tplc="F4840D58">
      <w:start w:val="1"/>
      <w:numFmt w:val="bullet"/>
      <w:lvlText w:val=""/>
      <w:lvlJc w:val="left"/>
      <w:pPr>
        <w:ind w:left="2880" w:hanging="360"/>
      </w:pPr>
      <w:rPr>
        <w:rFonts w:ascii="Symbol" w:hAnsi="Symbol" w:hint="default"/>
      </w:rPr>
    </w:lvl>
    <w:lvl w:ilvl="4" w:tplc="52CE33C2">
      <w:start w:val="1"/>
      <w:numFmt w:val="bullet"/>
      <w:lvlText w:val="o"/>
      <w:lvlJc w:val="left"/>
      <w:pPr>
        <w:ind w:left="3600" w:hanging="360"/>
      </w:pPr>
      <w:rPr>
        <w:rFonts w:ascii="Courier New" w:hAnsi="Courier New" w:hint="default"/>
      </w:rPr>
    </w:lvl>
    <w:lvl w:ilvl="5" w:tplc="EF508430">
      <w:start w:val="1"/>
      <w:numFmt w:val="bullet"/>
      <w:lvlText w:val=""/>
      <w:lvlJc w:val="left"/>
      <w:pPr>
        <w:ind w:left="4320" w:hanging="360"/>
      </w:pPr>
      <w:rPr>
        <w:rFonts w:ascii="Wingdings" w:hAnsi="Wingdings" w:hint="default"/>
      </w:rPr>
    </w:lvl>
    <w:lvl w:ilvl="6" w:tplc="97C01854">
      <w:start w:val="1"/>
      <w:numFmt w:val="bullet"/>
      <w:lvlText w:val=""/>
      <w:lvlJc w:val="left"/>
      <w:pPr>
        <w:ind w:left="5040" w:hanging="360"/>
      </w:pPr>
      <w:rPr>
        <w:rFonts w:ascii="Symbol" w:hAnsi="Symbol" w:hint="default"/>
      </w:rPr>
    </w:lvl>
    <w:lvl w:ilvl="7" w:tplc="A2D6943E">
      <w:start w:val="1"/>
      <w:numFmt w:val="bullet"/>
      <w:lvlText w:val="o"/>
      <w:lvlJc w:val="left"/>
      <w:pPr>
        <w:ind w:left="5760" w:hanging="360"/>
      </w:pPr>
      <w:rPr>
        <w:rFonts w:ascii="Courier New" w:hAnsi="Courier New" w:hint="default"/>
      </w:rPr>
    </w:lvl>
    <w:lvl w:ilvl="8" w:tplc="9C0A9CF4">
      <w:start w:val="1"/>
      <w:numFmt w:val="bullet"/>
      <w:lvlText w:val=""/>
      <w:lvlJc w:val="left"/>
      <w:pPr>
        <w:ind w:left="6480" w:hanging="360"/>
      </w:pPr>
      <w:rPr>
        <w:rFonts w:ascii="Wingdings" w:hAnsi="Wingdings" w:hint="default"/>
      </w:rPr>
    </w:lvl>
  </w:abstractNum>
  <w:abstractNum w:abstractNumId="21" w15:restartNumberingAfterBreak="0">
    <w:nsid w:val="5F0161C5"/>
    <w:multiLevelType w:val="hybridMultilevel"/>
    <w:tmpl w:val="161EC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C772D6"/>
    <w:multiLevelType w:val="hybridMultilevel"/>
    <w:tmpl w:val="B83C8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103942"/>
    <w:multiLevelType w:val="multilevel"/>
    <w:tmpl w:val="C53AD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4B5CB6"/>
    <w:multiLevelType w:val="hybridMultilevel"/>
    <w:tmpl w:val="27E615C8"/>
    <w:lvl w:ilvl="0" w:tplc="B576E9F4">
      <w:start w:val="1"/>
      <w:numFmt w:val="bullet"/>
      <w:lvlText w:val=""/>
      <w:lvlJc w:val="left"/>
      <w:pPr>
        <w:ind w:left="720" w:hanging="360"/>
      </w:pPr>
      <w:rPr>
        <w:rFonts w:ascii="Symbol" w:hAnsi="Symbol" w:hint="default"/>
      </w:rPr>
    </w:lvl>
    <w:lvl w:ilvl="1" w:tplc="B94AC5A6">
      <w:start w:val="1"/>
      <w:numFmt w:val="bullet"/>
      <w:lvlText w:val="o"/>
      <w:lvlJc w:val="left"/>
      <w:pPr>
        <w:ind w:left="1440" w:hanging="360"/>
      </w:pPr>
      <w:rPr>
        <w:rFonts w:ascii="Courier New" w:hAnsi="Courier New" w:hint="default"/>
      </w:rPr>
    </w:lvl>
    <w:lvl w:ilvl="2" w:tplc="23083224">
      <w:start w:val="1"/>
      <w:numFmt w:val="bullet"/>
      <w:lvlText w:val=""/>
      <w:lvlJc w:val="left"/>
      <w:pPr>
        <w:ind w:left="2160" w:hanging="360"/>
      </w:pPr>
      <w:rPr>
        <w:rFonts w:ascii="Wingdings" w:hAnsi="Wingdings" w:hint="default"/>
      </w:rPr>
    </w:lvl>
    <w:lvl w:ilvl="3" w:tplc="0C86F166">
      <w:start w:val="1"/>
      <w:numFmt w:val="bullet"/>
      <w:lvlText w:val=""/>
      <w:lvlJc w:val="left"/>
      <w:pPr>
        <w:ind w:left="2880" w:hanging="360"/>
      </w:pPr>
      <w:rPr>
        <w:rFonts w:ascii="Symbol" w:hAnsi="Symbol" w:hint="default"/>
      </w:rPr>
    </w:lvl>
    <w:lvl w:ilvl="4" w:tplc="93F0FA16">
      <w:start w:val="1"/>
      <w:numFmt w:val="bullet"/>
      <w:lvlText w:val="o"/>
      <w:lvlJc w:val="left"/>
      <w:pPr>
        <w:ind w:left="3600" w:hanging="360"/>
      </w:pPr>
      <w:rPr>
        <w:rFonts w:ascii="Courier New" w:hAnsi="Courier New" w:hint="default"/>
      </w:rPr>
    </w:lvl>
    <w:lvl w:ilvl="5" w:tplc="E5CA0220">
      <w:start w:val="1"/>
      <w:numFmt w:val="bullet"/>
      <w:lvlText w:val=""/>
      <w:lvlJc w:val="left"/>
      <w:pPr>
        <w:ind w:left="4320" w:hanging="360"/>
      </w:pPr>
      <w:rPr>
        <w:rFonts w:ascii="Wingdings" w:hAnsi="Wingdings" w:hint="default"/>
      </w:rPr>
    </w:lvl>
    <w:lvl w:ilvl="6" w:tplc="F35C934E">
      <w:start w:val="1"/>
      <w:numFmt w:val="bullet"/>
      <w:lvlText w:val=""/>
      <w:lvlJc w:val="left"/>
      <w:pPr>
        <w:ind w:left="5040" w:hanging="360"/>
      </w:pPr>
      <w:rPr>
        <w:rFonts w:ascii="Symbol" w:hAnsi="Symbol" w:hint="default"/>
      </w:rPr>
    </w:lvl>
    <w:lvl w:ilvl="7" w:tplc="C61A553A">
      <w:start w:val="1"/>
      <w:numFmt w:val="bullet"/>
      <w:lvlText w:val="o"/>
      <w:lvlJc w:val="left"/>
      <w:pPr>
        <w:ind w:left="5760" w:hanging="360"/>
      </w:pPr>
      <w:rPr>
        <w:rFonts w:ascii="Courier New" w:hAnsi="Courier New" w:hint="default"/>
      </w:rPr>
    </w:lvl>
    <w:lvl w:ilvl="8" w:tplc="0E30C61E">
      <w:start w:val="1"/>
      <w:numFmt w:val="bullet"/>
      <w:lvlText w:val=""/>
      <w:lvlJc w:val="left"/>
      <w:pPr>
        <w:ind w:left="6480" w:hanging="360"/>
      </w:pPr>
      <w:rPr>
        <w:rFonts w:ascii="Wingdings" w:hAnsi="Wingdings" w:hint="default"/>
      </w:rPr>
    </w:lvl>
  </w:abstractNum>
  <w:abstractNum w:abstractNumId="25" w15:restartNumberingAfterBreak="0">
    <w:nsid w:val="67A75168"/>
    <w:multiLevelType w:val="multilevel"/>
    <w:tmpl w:val="82AC6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AB2DAB"/>
    <w:multiLevelType w:val="hybridMultilevel"/>
    <w:tmpl w:val="8104E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5026E6"/>
    <w:multiLevelType w:val="hybridMultilevel"/>
    <w:tmpl w:val="AF1A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762ABC"/>
    <w:multiLevelType w:val="hybridMultilevel"/>
    <w:tmpl w:val="3B98C5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797C6C8B"/>
    <w:multiLevelType w:val="multilevel"/>
    <w:tmpl w:val="A692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CF1803"/>
    <w:multiLevelType w:val="multilevel"/>
    <w:tmpl w:val="C516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2049981">
    <w:abstractNumId w:val="6"/>
  </w:num>
  <w:num w:numId="2" w16cid:durableId="756747731">
    <w:abstractNumId w:val="20"/>
  </w:num>
  <w:num w:numId="3" w16cid:durableId="363292877">
    <w:abstractNumId w:val="24"/>
  </w:num>
  <w:num w:numId="4" w16cid:durableId="1631401586">
    <w:abstractNumId w:val="1"/>
  </w:num>
  <w:num w:numId="5" w16cid:durableId="2087803122">
    <w:abstractNumId w:val="11"/>
  </w:num>
  <w:num w:numId="6" w16cid:durableId="1181623420">
    <w:abstractNumId w:val="7"/>
  </w:num>
  <w:num w:numId="7" w16cid:durableId="1225725959">
    <w:abstractNumId w:val="25"/>
  </w:num>
  <w:num w:numId="8" w16cid:durableId="361439500">
    <w:abstractNumId w:val="5"/>
  </w:num>
  <w:num w:numId="9" w16cid:durableId="641278312">
    <w:abstractNumId w:val="19"/>
  </w:num>
  <w:num w:numId="10" w16cid:durableId="32078096">
    <w:abstractNumId w:val="9"/>
  </w:num>
  <w:num w:numId="11" w16cid:durableId="331563592">
    <w:abstractNumId w:val="23"/>
  </w:num>
  <w:num w:numId="12" w16cid:durableId="2138139244">
    <w:abstractNumId w:val="13"/>
  </w:num>
  <w:num w:numId="13" w16cid:durableId="1680624169">
    <w:abstractNumId w:val="16"/>
  </w:num>
  <w:num w:numId="14" w16cid:durableId="1130321517">
    <w:abstractNumId w:val="3"/>
  </w:num>
  <w:num w:numId="15" w16cid:durableId="741415401">
    <w:abstractNumId w:val="4"/>
  </w:num>
  <w:num w:numId="16" w16cid:durableId="124738249">
    <w:abstractNumId w:val="14"/>
  </w:num>
  <w:num w:numId="17" w16cid:durableId="402142872">
    <w:abstractNumId w:val="15"/>
  </w:num>
  <w:num w:numId="18" w16cid:durableId="1968929613">
    <w:abstractNumId w:val="29"/>
  </w:num>
  <w:num w:numId="19" w16cid:durableId="2047900879">
    <w:abstractNumId w:val="2"/>
  </w:num>
  <w:num w:numId="20" w16cid:durableId="1776748943">
    <w:abstractNumId w:val="30"/>
  </w:num>
  <w:num w:numId="21" w16cid:durableId="1079205570">
    <w:abstractNumId w:val="0"/>
  </w:num>
  <w:num w:numId="22" w16cid:durableId="1072846529">
    <w:abstractNumId w:val="22"/>
  </w:num>
  <w:num w:numId="23" w16cid:durableId="1846435587">
    <w:abstractNumId w:val="27"/>
  </w:num>
  <w:num w:numId="24" w16cid:durableId="918101444">
    <w:abstractNumId w:val="10"/>
  </w:num>
  <w:num w:numId="25" w16cid:durableId="1959992872">
    <w:abstractNumId w:val="18"/>
  </w:num>
  <w:num w:numId="26" w16cid:durableId="322125252">
    <w:abstractNumId w:val="28"/>
  </w:num>
  <w:num w:numId="27" w16cid:durableId="401753490">
    <w:abstractNumId w:val="12"/>
  </w:num>
  <w:num w:numId="28" w16cid:durableId="830677218">
    <w:abstractNumId w:val="8"/>
  </w:num>
  <w:num w:numId="29" w16cid:durableId="2146385148">
    <w:abstractNumId w:val="17"/>
  </w:num>
  <w:num w:numId="30" w16cid:durableId="94132186">
    <w:abstractNumId w:val="26"/>
  </w:num>
  <w:num w:numId="31" w16cid:durableId="10428987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5D02B2C"/>
    <w:rsid w:val="00004A9A"/>
    <w:rsid w:val="00011949"/>
    <w:rsid w:val="000152AE"/>
    <w:rsid w:val="000153C0"/>
    <w:rsid w:val="00017050"/>
    <w:rsid w:val="000172EB"/>
    <w:rsid w:val="000205BA"/>
    <w:rsid w:val="0002478E"/>
    <w:rsid w:val="000255FB"/>
    <w:rsid w:val="0002747B"/>
    <w:rsid w:val="00032FE0"/>
    <w:rsid w:val="00037EB6"/>
    <w:rsid w:val="00040292"/>
    <w:rsid w:val="00043A53"/>
    <w:rsid w:val="00046A46"/>
    <w:rsid w:val="0004756C"/>
    <w:rsid w:val="0005535C"/>
    <w:rsid w:val="0005730A"/>
    <w:rsid w:val="000576CA"/>
    <w:rsid w:val="00074084"/>
    <w:rsid w:val="000748F4"/>
    <w:rsid w:val="000773CB"/>
    <w:rsid w:val="000804BC"/>
    <w:rsid w:val="00083E9B"/>
    <w:rsid w:val="00084F0C"/>
    <w:rsid w:val="0008987E"/>
    <w:rsid w:val="000903FC"/>
    <w:rsid w:val="00090C0F"/>
    <w:rsid w:val="000931A5"/>
    <w:rsid w:val="00095878"/>
    <w:rsid w:val="00096EC9"/>
    <w:rsid w:val="000A1CB1"/>
    <w:rsid w:val="000A3FA6"/>
    <w:rsid w:val="000A57E9"/>
    <w:rsid w:val="000A7E4C"/>
    <w:rsid w:val="000B3598"/>
    <w:rsid w:val="000B766D"/>
    <w:rsid w:val="000C2863"/>
    <w:rsid w:val="000C2B2A"/>
    <w:rsid w:val="000C6581"/>
    <w:rsid w:val="000C6E51"/>
    <w:rsid w:val="000C7B98"/>
    <w:rsid w:val="000D1E0C"/>
    <w:rsid w:val="000E2160"/>
    <w:rsid w:val="000E5337"/>
    <w:rsid w:val="000E7DE6"/>
    <w:rsid w:val="000F0758"/>
    <w:rsid w:val="000F3A43"/>
    <w:rsid w:val="000F4C8A"/>
    <w:rsid w:val="00100B22"/>
    <w:rsid w:val="001032D0"/>
    <w:rsid w:val="00103C7B"/>
    <w:rsid w:val="001043C6"/>
    <w:rsid w:val="00104AC4"/>
    <w:rsid w:val="0010788D"/>
    <w:rsid w:val="00113A0B"/>
    <w:rsid w:val="00117A89"/>
    <w:rsid w:val="001255EE"/>
    <w:rsid w:val="00131D63"/>
    <w:rsid w:val="001355D9"/>
    <w:rsid w:val="00135D51"/>
    <w:rsid w:val="00137FC9"/>
    <w:rsid w:val="001412A0"/>
    <w:rsid w:val="00142167"/>
    <w:rsid w:val="00144880"/>
    <w:rsid w:val="00144C36"/>
    <w:rsid w:val="00144D4E"/>
    <w:rsid w:val="00150F4B"/>
    <w:rsid w:val="00152565"/>
    <w:rsid w:val="0015346B"/>
    <w:rsid w:val="00156E63"/>
    <w:rsid w:val="00157674"/>
    <w:rsid w:val="0015788E"/>
    <w:rsid w:val="00172E7E"/>
    <w:rsid w:val="00173ADA"/>
    <w:rsid w:val="001741D9"/>
    <w:rsid w:val="001742BF"/>
    <w:rsid w:val="00182B1E"/>
    <w:rsid w:val="00185163"/>
    <w:rsid w:val="001859F1"/>
    <w:rsid w:val="00191C67"/>
    <w:rsid w:val="00191FB7"/>
    <w:rsid w:val="0019282E"/>
    <w:rsid w:val="00192CAE"/>
    <w:rsid w:val="0019317D"/>
    <w:rsid w:val="00195569"/>
    <w:rsid w:val="001A10B0"/>
    <w:rsid w:val="001A1677"/>
    <w:rsid w:val="001A636E"/>
    <w:rsid w:val="001A6515"/>
    <w:rsid w:val="001B549C"/>
    <w:rsid w:val="001C257C"/>
    <w:rsid w:val="001C5318"/>
    <w:rsid w:val="001D2D2D"/>
    <w:rsid w:val="001D348C"/>
    <w:rsid w:val="001D4783"/>
    <w:rsid w:val="001E420A"/>
    <w:rsid w:val="001F55EC"/>
    <w:rsid w:val="001F5932"/>
    <w:rsid w:val="001F62BF"/>
    <w:rsid w:val="002003E5"/>
    <w:rsid w:val="0020072A"/>
    <w:rsid w:val="00202331"/>
    <w:rsid w:val="00220DFF"/>
    <w:rsid w:val="00221E28"/>
    <w:rsid w:val="00222946"/>
    <w:rsid w:val="00223AAC"/>
    <w:rsid w:val="00224D0A"/>
    <w:rsid w:val="00233A22"/>
    <w:rsid w:val="00234F6A"/>
    <w:rsid w:val="002351FF"/>
    <w:rsid w:val="00236184"/>
    <w:rsid w:val="00240DF3"/>
    <w:rsid w:val="00241E36"/>
    <w:rsid w:val="00243220"/>
    <w:rsid w:val="00243ACB"/>
    <w:rsid w:val="0024726E"/>
    <w:rsid w:val="002511DD"/>
    <w:rsid w:val="0025372C"/>
    <w:rsid w:val="00254865"/>
    <w:rsid w:val="00256088"/>
    <w:rsid w:val="00256287"/>
    <w:rsid w:val="00257C53"/>
    <w:rsid w:val="00257F31"/>
    <w:rsid w:val="002642BE"/>
    <w:rsid w:val="00264846"/>
    <w:rsid w:val="00265546"/>
    <w:rsid w:val="0027136D"/>
    <w:rsid w:val="0027224C"/>
    <w:rsid w:val="00273AE0"/>
    <w:rsid w:val="002821FF"/>
    <w:rsid w:val="00282359"/>
    <w:rsid w:val="00282490"/>
    <w:rsid w:val="002845F9"/>
    <w:rsid w:val="00287176"/>
    <w:rsid w:val="00290B3C"/>
    <w:rsid w:val="002A3740"/>
    <w:rsid w:val="002A5AF0"/>
    <w:rsid w:val="002A7C89"/>
    <w:rsid w:val="002B01B5"/>
    <w:rsid w:val="002B08F2"/>
    <w:rsid w:val="002B7B99"/>
    <w:rsid w:val="002C0C83"/>
    <w:rsid w:val="002C3886"/>
    <w:rsid w:val="002D1411"/>
    <w:rsid w:val="002E3526"/>
    <w:rsid w:val="002E51BE"/>
    <w:rsid w:val="002E53E8"/>
    <w:rsid w:val="002E6CBD"/>
    <w:rsid w:val="002F0072"/>
    <w:rsid w:val="002F264F"/>
    <w:rsid w:val="002F30F1"/>
    <w:rsid w:val="002F4133"/>
    <w:rsid w:val="00303A3C"/>
    <w:rsid w:val="00312824"/>
    <w:rsid w:val="00315063"/>
    <w:rsid w:val="00315244"/>
    <w:rsid w:val="003266B7"/>
    <w:rsid w:val="003356BA"/>
    <w:rsid w:val="00342ECB"/>
    <w:rsid w:val="00345E4D"/>
    <w:rsid w:val="00346B6A"/>
    <w:rsid w:val="00347354"/>
    <w:rsid w:val="00350EE1"/>
    <w:rsid w:val="003525D7"/>
    <w:rsid w:val="00353E35"/>
    <w:rsid w:val="0035691A"/>
    <w:rsid w:val="00356B34"/>
    <w:rsid w:val="00366CBC"/>
    <w:rsid w:val="003752FE"/>
    <w:rsid w:val="00380DC6"/>
    <w:rsid w:val="00383EAE"/>
    <w:rsid w:val="003846A7"/>
    <w:rsid w:val="003874F8"/>
    <w:rsid w:val="003906C5"/>
    <w:rsid w:val="003A0E3F"/>
    <w:rsid w:val="003A0F9B"/>
    <w:rsid w:val="003A5028"/>
    <w:rsid w:val="003B2B46"/>
    <w:rsid w:val="003B680A"/>
    <w:rsid w:val="003C0C0E"/>
    <w:rsid w:val="003C3951"/>
    <w:rsid w:val="003C40AA"/>
    <w:rsid w:val="003C69D3"/>
    <w:rsid w:val="003D155D"/>
    <w:rsid w:val="003D77A6"/>
    <w:rsid w:val="003E2091"/>
    <w:rsid w:val="003F4DE7"/>
    <w:rsid w:val="003F5FF2"/>
    <w:rsid w:val="00402F1A"/>
    <w:rsid w:val="00406EBC"/>
    <w:rsid w:val="004075D0"/>
    <w:rsid w:val="00416471"/>
    <w:rsid w:val="00416E00"/>
    <w:rsid w:val="00417484"/>
    <w:rsid w:val="00421635"/>
    <w:rsid w:val="0042A71F"/>
    <w:rsid w:val="00433663"/>
    <w:rsid w:val="00434CFD"/>
    <w:rsid w:val="00434D98"/>
    <w:rsid w:val="004361E2"/>
    <w:rsid w:val="004421B6"/>
    <w:rsid w:val="004502E2"/>
    <w:rsid w:val="00456A0D"/>
    <w:rsid w:val="00461E38"/>
    <w:rsid w:val="00463581"/>
    <w:rsid w:val="00463CF5"/>
    <w:rsid w:val="00473020"/>
    <w:rsid w:val="00473607"/>
    <w:rsid w:val="0047441D"/>
    <w:rsid w:val="00482D69"/>
    <w:rsid w:val="0048721A"/>
    <w:rsid w:val="0049174D"/>
    <w:rsid w:val="004960A4"/>
    <w:rsid w:val="004A0017"/>
    <w:rsid w:val="004A221E"/>
    <w:rsid w:val="004A4417"/>
    <w:rsid w:val="004B44B8"/>
    <w:rsid w:val="004C351B"/>
    <w:rsid w:val="004C40C8"/>
    <w:rsid w:val="004C6A18"/>
    <w:rsid w:val="004C7B9F"/>
    <w:rsid w:val="004D0798"/>
    <w:rsid w:val="004D3224"/>
    <w:rsid w:val="004D561A"/>
    <w:rsid w:val="004D6CD6"/>
    <w:rsid w:val="004D711E"/>
    <w:rsid w:val="004D7325"/>
    <w:rsid w:val="004E39AF"/>
    <w:rsid w:val="004F537A"/>
    <w:rsid w:val="004F539D"/>
    <w:rsid w:val="004F6960"/>
    <w:rsid w:val="004F70A4"/>
    <w:rsid w:val="004F71EF"/>
    <w:rsid w:val="00501AD5"/>
    <w:rsid w:val="00506A51"/>
    <w:rsid w:val="00510770"/>
    <w:rsid w:val="00515DCB"/>
    <w:rsid w:val="00517B95"/>
    <w:rsid w:val="005210C1"/>
    <w:rsid w:val="00521D17"/>
    <w:rsid w:val="005227B0"/>
    <w:rsid w:val="0053125B"/>
    <w:rsid w:val="005350F8"/>
    <w:rsid w:val="0053589D"/>
    <w:rsid w:val="00543DC5"/>
    <w:rsid w:val="00545ACA"/>
    <w:rsid w:val="00550845"/>
    <w:rsid w:val="00551106"/>
    <w:rsid w:val="005511F7"/>
    <w:rsid w:val="00552138"/>
    <w:rsid w:val="005569D4"/>
    <w:rsid w:val="00560C6B"/>
    <w:rsid w:val="00563D38"/>
    <w:rsid w:val="0056401E"/>
    <w:rsid w:val="0056622A"/>
    <w:rsid w:val="00566FC1"/>
    <w:rsid w:val="00567818"/>
    <w:rsid w:val="005724B1"/>
    <w:rsid w:val="00572C09"/>
    <w:rsid w:val="00572EE7"/>
    <w:rsid w:val="00576842"/>
    <w:rsid w:val="00581ADB"/>
    <w:rsid w:val="0058291F"/>
    <w:rsid w:val="00584C11"/>
    <w:rsid w:val="00585663"/>
    <w:rsid w:val="00594E54"/>
    <w:rsid w:val="005A1753"/>
    <w:rsid w:val="005A4D57"/>
    <w:rsid w:val="005B0186"/>
    <w:rsid w:val="005B220D"/>
    <w:rsid w:val="005B3911"/>
    <w:rsid w:val="005B3E62"/>
    <w:rsid w:val="005B546C"/>
    <w:rsid w:val="005C688B"/>
    <w:rsid w:val="005C68BB"/>
    <w:rsid w:val="005D07FC"/>
    <w:rsid w:val="005D0DD2"/>
    <w:rsid w:val="005D37D7"/>
    <w:rsid w:val="005D47FB"/>
    <w:rsid w:val="005D5D8C"/>
    <w:rsid w:val="005D78E9"/>
    <w:rsid w:val="005E7020"/>
    <w:rsid w:val="005F409A"/>
    <w:rsid w:val="005F7A96"/>
    <w:rsid w:val="00605158"/>
    <w:rsid w:val="00605D5F"/>
    <w:rsid w:val="0060783C"/>
    <w:rsid w:val="00610A1B"/>
    <w:rsid w:val="00613D36"/>
    <w:rsid w:val="00615BA7"/>
    <w:rsid w:val="0062321D"/>
    <w:rsid w:val="00631315"/>
    <w:rsid w:val="006448C5"/>
    <w:rsid w:val="00654CC3"/>
    <w:rsid w:val="0065718B"/>
    <w:rsid w:val="00664A4E"/>
    <w:rsid w:val="0067023D"/>
    <w:rsid w:val="00670C2B"/>
    <w:rsid w:val="00672683"/>
    <w:rsid w:val="0068158C"/>
    <w:rsid w:val="00683655"/>
    <w:rsid w:val="00686F26"/>
    <w:rsid w:val="00692FD6"/>
    <w:rsid w:val="00693494"/>
    <w:rsid w:val="006944B1"/>
    <w:rsid w:val="00696AB4"/>
    <w:rsid w:val="006A04FD"/>
    <w:rsid w:val="006A61EF"/>
    <w:rsid w:val="006B4E33"/>
    <w:rsid w:val="006B69A1"/>
    <w:rsid w:val="006B6B77"/>
    <w:rsid w:val="006BD736"/>
    <w:rsid w:val="006C3196"/>
    <w:rsid w:val="006D357E"/>
    <w:rsid w:val="006D4083"/>
    <w:rsid w:val="006D4AD1"/>
    <w:rsid w:val="006D7B52"/>
    <w:rsid w:val="006E6E5B"/>
    <w:rsid w:val="006E70FB"/>
    <w:rsid w:val="006F183D"/>
    <w:rsid w:val="006F2D45"/>
    <w:rsid w:val="006F75F6"/>
    <w:rsid w:val="00707186"/>
    <w:rsid w:val="007072F5"/>
    <w:rsid w:val="007100BB"/>
    <w:rsid w:val="00712F42"/>
    <w:rsid w:val="00715E28"/>
    <w:rsid w:val="007215E7"/>
    <w:rsid w:val="00722422"/>
    <w:rsid w:val="007329B8"/>
    <w:rsid w:val="00736FEE"/>
    <w:rsid w:val="0074092B"/>
    <w:rsid w:val="0074426E"/>
    <w:rsid w:val="00745E2B"/>
    <w:rsid w:val="007471CF"/>
    <w:rsid w:val="007502E7"/>
    <w:rsid w:val="0075255A"/>
    <w:rsid w:val="007548D4"/>
    <w:rsid w:val="00763CFC"/>
    <w:rsid w:val="0076452B"/>
    <w:rsid w:val="007656BE"/>
    <w:rsid w:val="00770DD3"/>
    <w:rsid w:val="00772837"/>
    <w:rsid w:val="00777E20"/>
    <w:rsid w:val="00781808"/>
    <w:rsid w:val="00784300"/>
    <w:rsid w:val="00787A04"/>
    <w:rsid w:val="0079354C"/>
    <w:rsid w:val="007A192C"/>
    <w:rsid w:val="007A24D7"/>
    <w:rsid w:val="007A48C7"/>
    <w:rsid w:val="007A4DFA"/>
    <w:rsid w:val="007A776E"/>
    <w:rsid w:val="007B12E9"/>
    <w:rsid w:val="007B39A3"/>
    <w:rsid w:val="007C0853"/>
    <w:rsid w:val="007C379A"/>
    <w:rsid w:val="007D0CC3"/>
    <w:rsid w:val="007D241D"/>
    <w:rsid w:val="007E02F5"/>
    <w:rsid w:val="007E1457"/>
    <w:rsid w:val="007E55FE"/>
    <w:rsid w:val="007F2E2D"/>
    <w:rsid w:val="00801D9A"/>
    <w:rsid w:val="00805B78"/>
    <w:rsid w:val="00813C40"/>
    <w:rsid w:val="00815057"/>
    <w:rsid w:val="00815EDC"/>
    <w:rsid w:val="008175B6"/>
    <w:rsid w:val="00822C27"/>
    <w:rsid w:val="008236E1"/>
    <w:rsid w:val="00827954"/>
    <w:rsid w:val="00827B0A"/>
    <w:rsid w:val="00834244"/>
    <w:rsid w:val="00842294"/>
    <w:rsid w:val="0084255E"/>
    <w:rsid w:val="00842D57"/>
    <w:rsid w:val="00842E76"/>
    <w:rsid w:val="00854691"/>
    <w:rsid w:val="00855185"/>
    <w:rsid w:val="00855DD0"/>
    <w:rsid w:val="00861E85"/>
    <w:rsid w:val="00864C2C"/>
    <w:rsid w:val="0086595A"/>
    <w:rsid w:val="00866094"/>
    <w:rsid w:val="008667E0"/>
    <w:rsid w:val="00867E33"/>
    <w:rsid w:val="00871D54"/>
    <w:rsid w:val="00873D85"/>
    <w:rsid w:val="00876586"/>
    <w:rsid w:val="00877362"/>
    <w:rsid w:val="00882A19"/>
    <w:rsid w:val="00882EA5"/>
    <w:rsid w:val="0088429E"/>
    <w:rsid w:val="0089154B"/>
    <w:rsid w:val="00893808"/>
    <w:rsid w:val="00894062"/>
    <w:rsid w:val="00894B94"/>
    <w:rsid w:val="00896A18"/>
    <w:rsid w:val="008A2E63"/>
    <w:rsid w:val="008A4508"/>
    <w:rsid w:val="008A47E2"/>
    <w:rsid w:val="008A4BF5"/>
    <w:rsid w:val="008A4C49"/>
    <w:rsid w:val="008B084E"/>
    <w:rsid w:val="008B6429"/>
    <w:rsid w:val="008B6FA4"/>
    <w:rsid w:val="008B7342"/>
    <w:rsid w:val="008C0702"/>
    <w:rsid w:val="008C0DEC"/>
    <w:rsid w:val="008C2F7C"/>
    <w:rsid w:val="008C3E93"/>
    <w:rsid w:val="008C6046"/>
    <w:rsid w:val="008D691F"/>
    <w:rsid w:val="008D7288"/>
    <w:rsid w:val="008E0DA1"/>
    <w:rsid w:val="008E55A4"/>
    <w:rsid w:val="008F1F2C"/>
    <w:rsid w:val="008F2EE5"/>
    <w:rsid w:val="008F31CD"/>
    <w:rsid w:val="008F6017"/>
    <w:rsid w:val="00901978"/>
    <w:rsid w:val="00904F40"/>
    <w:rsid w:val="0091163A"/>
    <w:rsid w:val="00911DFB"/>
    <w:rsid w:val="00915E12"/>
    <w:rsid w:val="00916679"/>
    <w:rsid w:val="009212B7"/>
    <w:rsid w:val="0092473C"/>
    <w:rsid w:val="0093001C"/>
    <w:rsid w:val="00932DB3"/>
    <w:rsid w:val="009344CA"/>
    <w:rsid w:val="009405F9"/>
    <w:rsid w:val="009421AE"/>
    <w:rsid w:val="009504E2"/>
    <w:rsid w:val="009541EA"/>
    <w:rsid w:val="00963336"/>
    <w:rsid w:val="0096554F"/>
    <w:rsid w:val="0096645B"/>
    <w:rsid w:val="00966C7A"/>
    <w:rsid w:val="009743C4"/>
    <w:rsid w:val="00976EF2"/>
    <w:rsid w:val="00977972"/>
    <w:rsid w:val="00985D12"/>
    <w:rsid w:val="00993DEE"/>
    <w:rsid w:val="009965E0"/>
    <w:rsid w:val="0099785A"/>
    <w:rsid w:val="009A5700"/>
    <w:rsid w:val="009A57AF"/>
    <w:rsid w:val="009B47B7"/>
    <w:rsid w:val="009B586A"/>
    <w:rsid w:val="009C24DB"/>
    <w:rsid w:val="009C5192"/>
    <w:rsid w:val="009C56C8"/>
    <w:rsid w:val="009D6989"/>
    <w:rsid w:val="009D7372"/>
    <w:rsid w:val="009E4195"/>
    <w:rsid w:val="009E5359"/>
    <w:rsid w:val="009E5B93"/>
    <w:rsid w:val="00A025D8"/>
    <w:rsid w:val="00A036D5"/>
    <w:rsid w:val="00A04234"/>
    <w:rsid w:val="00A049CD"/>
    <w:rsid w:val="00A108CC"/>
    <w:rsid w:val="00A154FE"/>
    <w:rsid w:val="00A17B1A"/>
    <w:rsid w:val="00A30837"/>
    <w:rsid w:val="00A361F0"/>
    <w:rsid w:val="00A40E5D"/>
    <w:rsid w:val="00A41924"/>
    <w:rsid w:val="00A4546C"/>
    <w:rsid w:val="00A46C55"/>
    <w:rsid w:val="00A46F83"/>
    <w:rsid w:val="00A514D7"/>
    <w:rsid w:val="00A5210A"/>
    <w:rsid w:val="00A55B9D"/>
    <w:rsid w:val="00A61190"/>
    <w:rsid w:val="00A779DE"/>
    <w:rsid w:val="00A81CFE"/>
    <w:rsid w:val="00A859DA"/>
    <w:rsid w:val="00A85C23"/>
    <w:rsid w:val="00A95FB3"/>
    <w:rsid w:val="00A967FA"/>
    <w:rsid w:val="00AC0556"/>
    <w:rsid w:val="00AC44A7"/>
    <w:rsid w:val="00AE4768"/>
    <w:rsid w:val="00AF3F25"/>
    <w:rsid w:val="00AF695B"/>
    <w:rsid w:val="00AF7D08"/>
    <w:rsid w:val="00B0056F"/>
    <w:rsid w:val="00B04102"/>
    <w:rsid w:val="00B138B9"/>
    <w:rsid w:val="00B1540E"/>
    <w:rsid w:val="00B154D8"/>
    <w:rsid w:val="00B26FC0"/>
    <w:rsid w:val="00B35E81"/>
    <w:rsid w:val="00B42EEA"/>
    <w:rsid w:val="00B42FFB"/>
    <w:rsid w:val="00B50774"/>
    <w:rsid w:val="00B52D8D"/>
    <w:rsid w:val="00B548E4"/>
    <w:rsid w:val="00B62D7A"/>
    <w:rsid w:val="00B73671"/>
    <w:rsid w:val="00B739E1"/>
    <w:rsid w:val="00B7628C"/>
    <w:rsid w:val="00B77BA0"/>
    <w:rsid w:val="00B77BA7"/>
    <w:rsid w:val="00B9381D"/>
    <w:rsid w:val="00BA4D67"/>
    <w:rsid w:val="00BB1EF9"/>
    <w:rsid w:val="00BB29BF"/>
    <w:rsid w:val="00BB3D39"/>
    <w:rsid w:val="00BB52B3"/>
    <w:rsid w:val="00BC0525"/>
    <w:rsid w:val="00BC1D61"/>
    <w:rsid w:val="00BC2578"/>
    <w:rsid w:val="00BC47E3"/>
    <w:rsid w:val="00BC74AD"/>
    <w:rsid w:val="00BD086B"/>
    <w:rsid w:val="00BD219C"/>
    <w:rsid w:val="00BD3302"/>
    <w:rsid w:val="00BD525B"/>
    <w:rsid w:val="00BE34FC"/>
    <w:rsid w:val="00BE3F22"/>
    <w:rsid w:val="00BE43C0"/>
    <w:rsid w:val="00BE451F"/>
    <w:rsid w:val="00BE5B30"/>
    <w:rsid w:val="00BF3092"/>
    <w:rsid w:val="00BF5F95"/>
    <w:rsid w:val="00C00F74"/>
    <w:rsid w:val="00C02AB6"/>
    <w:rsid w:val="00C045F7"/>
    <w:rsid w:val="00C13847"/>
    <w:rsid w:val="00C15C26"/>
    <w:rsid w:val="00C17C0A"/>
    <w:rsid w:val="00C25147"/>
    <w:rsid w:val="00C25160"/>
    <w:rsid w:val="00C32756"/>
    <w:rsid w:val="00C36261"/>
    <w:rsid w:val="00C40094"/>
    <w:rsid w:val="00C45A37"/>
    <w:rsid w:val="00C45B13"/>
    <w:rsid w:val="00C50B3F"/>
    <w:rsid w:val="00C52D0F"/>
    <w:rsid w:val="00C550F3"/>
    <w:rsid w:val="00C55358"/>
    <w:rsid w:val="00C5574F"/>
    <w:rsid w:val="00C55DF8"/>
    <w:rsid w:val="00C56222"/>
    <w:rsid w:val="00C56523"/>
    <w:rsid w:val="00C569B5"/>
    <w:rsid w:val="00C60C6A"/>
    <w:rsid w:val="00C622A3"/>
    <w:rsid w:val="00C622AF"/>
    <w:rsid w:val="00C63A15"/>
    <w:rsid w:val="00C66372"/>
    <w:rsid w:val="00C677D8"/>
    <w:rsid w:val="00C70658"/>
    <w:rsid w:val="00C70DFF"/>
    <w:rsid w:val="00C74E4F"/>
    <w:rsid w:val="00C76025"/>
    <w:rsid w:val="00C81DD2"/>
    <w:rsid w:val="00C8712E"/>
    <w:rsid w:val="00C9099C"/>
    <w:rsid w:val="00CA0C50"/>
    <w:rsid w:val="00CA0F15"/>
    <w:rsid w:val="00CA2507"/>
    <w:rsid w:val="00CA2D12"/>
    <w:rsid w:val="00CA5233"/>
    <w:rsid w:val="00CA6E38"/>
    <w:rsid w:val="00CA73BA"/>
    <w:rsid w:val="00CA7734"/>
    <w:rsid w:val="00CB11B0"/>
    <w:rsid w:val="00CB2C60"/>
    <w:rsid w:val="00CC1E1E"/>
    <w:rsid w:val="00CC46EB"/>
    <w:rsid w:val="00CE03CB"/>
    <w:rsid w:val="00CE1525"/>
    <w:rsid w:val="00CE26AD"/>
    <w:rsid w:val="00CF0C15"/>
    <w:rsid w:val="00CF539C"/>
    <w:rsid w:val="00CF5E78"/>
    <w:rsid w:val="00CF696D"/>
    <w:rsid w:val="00D0402A"/>
    <w:rsid w:val="00D05C7E"/>
    <w:rsid w:val="00D05FAB"/>
    <w:rsid w:val="00D10D01"/>
    <w:rsid w:val="00D14C47"/>
    <w:rsid w:val="00D173D7"/>
    <w:rsid w:val="00D205B4"/>
    <w:rsid w:val="00D317A9"/>
    <w:rsid w:val="00D31EB0"/>
    <w:rsid w:val="00D3271B"/>
    <w:rsid w:val="00D35C26"/>
    <w:rsid w:val="00D361BA"/>
    <w:rsid w:val="00D36BF3"/>
    <w:rsid w:val="00D36E28"/>
    <w:rsid w:val="00D426BC"/>
    <w:rsid w:val="00D43BA5"/>
    <w:rsid w:val="00D46D12"/>
    <w:rsid w:val="00D46F6B"/>
    <w:rsid w:val="00D513CA"/>
    <w:rsid w:val="00D514E3"/>
    <w:rsid w:val="00D55D5A"/>
    <w:rsid w:val="00D560CF"/>
    <w:rsid w:val="00D6667B"/>
    <w:rsid w:val="00D72C5A"/>
    <w:rsid w:val="00D72D2F"/>
    <w:rsid w:val="00D73948"/>
    <w:rsid w:val="00D73FB8"/>
    <w:rsid w:val="00D75FAD"/>
    <w:rsid w:val="00D767F4"/>
    <w:rsid w:val="00D779BD"/>
    <w:rsid w:val="00D804AA"/>
    <w:rsid w:val="00D8314B"/>
    <w:rsid w:val="00D870C6"/>
    <w:rsid w:val="00D94177"/>
    <w:rsid w:val="00D974BB"/>
    <w:rsid w:val="00D97B27"/>
    <w:rsid w:val="00DA15AD"/>
    <w:rsid w:val="00DA24A4"/>
    <w:rsid w:val="00DA3D7D"/>
    <w:rsid w:val="00DA3EB0"/>
    <w:rsid w:val="00DA5089"/>
    <w:rsid w:val="00DA7AF4"/>
    <w:rsid w:val="00DB0FA3"/>
    <w:rsid w:val="00DB136B"/>
    <w:rsid w:val="00DB3404"/>
    <w:rsid w:val="00DB5610"/>
    <w:rsid w:val="00DC2B82"/>
    <w:rsid w:val="00DC3F41"/>
    <w:rsid w:val="00DD105A"/>
    <w:rsid w:val="00DD54BD"/>
    <w:rsid w:val="00DD54D6"/>
    <w:rsid w:val="00DE1B5D"/>
    <w:rsid w:val="00DE67DE"/>
    <w:rsid w:val="00DE7509"/>
    <w:rsid w:val="00DE79D3"/>
    <w:rsid w:val="00DE7C80"/>
    <w:rsid w:val="00DE7E97"/>
    <w:rsid w:val="00DF1204"/>
    <w:rsid w:val="00DF2181"/>
    <w:rsid w:val="00DF4AE4"/>
    <w:rsid w:val="00E02CA5"/>
    <w:rsid w:val="00E02E43"/>
    <w:rsid w:val="00E0306D"/>
    <w:rsid w:val="00E17461"/>
    <w:rsid w:val="00E21F47"/>
    <w:rsid w:val="00E31BF9"/>
    <w:rsid w:val="00E35FA0"/>
    <w:rsid w:val="00E402E8"/>
    <w:rsid w:val="00E40B1C"/>
    <w:rsid w:val="00E431D2"/>
    <w:rsid w:val="00E50CBA"/>
    <w:rsid w:val="00E51AB5"/>
    <w:rsid w:val="00E53DEE"/>
    <w:rsid w:val="00E540B7"/>
    <w:rsid w:val="00E573B5"/>
    <w:rsid w:val="00E614F7"/>
    <w:rsid w:val="00E635B6"/>
    <w:rsid w:val="00E6618B"/>
    <w:rsid w:val="00E70D6A"/>
    <w:rsid w:val="00E72895"/>
    <w:rsid w:val="00E738FB"/>
    <w:rsid w:val="00E73DEC"/>
    <w:rsid w:val="00E74BF0"/>
    <w:rsid w:val="00E76862"/>
    <w:rsid w:val="00E77180"/>
    <w:rsid w:val="00E77A7A"/>
    <w:rsid w:val="00E8081A"/>
    <w:rsid w:val="00E84F11"/>
    <w:rsid w:val="00E85287"/>
    <w:rsid w:val="00E86D42"/>
    <w:rsid w:val="00E86FCD"/>
    <w:rsid w:val="00E90FFE"/>
    <w:rsid w:val="00E937EF"/>
    <w:rsid w:val="00E95847"/>
    <w:rsid w:val="00EA0BC1"/>
    <w:rsid w:val="00EA119B"/>
    <w:rsid w:val="00EB1D2C"/>
    <w:rsid w:val="00EB5A31"/>
    <w:rsid w:val="00EC06F9"/>
    <w:rsid w:val="00EC1E14"/>
    <w:rsid w:val="00EC2511"/>
    <w:rsid w:val="00EC376B"/>
    <w:rsid w:val="00EC749D"/>
    <w:rsid w:val="00EC773A"/>
    <w:rsid w:val="00ED34E4"/>
    <w:rsid w:val="00ED53C4"/>
    <w:rsid w:val="00EE0A5F"/>
    <w:rsid w:val="00EF5E3A"/>
    <w:rsid w:val="00EF65B4"/>
    <w:rsid w:val="00F133F6"/>
    <w:rsid w:val="00F16BBC"/>
    <w:rsid w:val="00F176AE"/>
    <w:rsid w:val="00F20117"/>
    <w:rsid w:val="00F2121D"/>
    <w:rsid w:val="00F346D2"/>
    <w:rsid w:val="00F36485"/>
    <w:rsid w:val="00F37223"/>
    <w:rsid w:val="00F40500"/>
    <w:rsid w:val="00F417F9"/>
    <w:rsid w:val="00F45097"/>
    <w:rsid w:val="00F53920"/>
    <w:rsid w:val="00F60B59"/>
    <w:rsid w:val="00F617B6"/>
    <w:rsid w:val="00F619F1"/>
    <w:rsid w:val="00F64062"/>
    <w:rsid w:val="00F7250E"/>
    <w:rsid w:val="00F7421B"/>
    <w:rsid w:val="00F82EAB"/>
    <w:rsid w:val="00F83BF1"/>
    <w:rsid w:val="00F83E0A"/>
    <w:rsid w:val="00F912E5"/>
    <w:rsid w:val="00F92247"/>
    <w:rsid w:val="00F92F9B"/>
    <w:rsid w:val="00F94B25"/>
    <w:rsid w:val="00FA0090"/>
    <w:rsid w:val="00FA4FD2"/>
    <w:rsid w:val="00FB062A"/>
    <w:rsid w:val="00FB1B22"/>
    <w:rsid w:val="00FB734C"/>
    <w:rsid w:val="00FC64EB"/>
    <w:rsid w:val="00FC7BC9"/>
    <w:rsid w:val="00FD086A"/>
    <w:rsid w:val="00FE21E2"/>
    <w:rsid w:val="00FF1216"/>
    <w:rsid w:val="00FF3CCA"/>
    <w:rsid w:val="00FF5E86"/>
    <w:rsid w:val="00FF6D77"/>
    <w:rsid w:val="013065D8"/>
    <w:rsid w:val="014D6AF3"/>
    <w:rsid w:val="01879F7D"/>
    <w:rsid w:val="01EE7F3A"/>
    <w:rsid w:val="01F7BCDD"/>
    <w:rsid w:val="020C4175"/>
    <w:rsid w:val="02C08C87"/>
    <w:rsid w:val="02E151AA"/>
    <w:rsid w:val="035545BE"/>
    <w:rsid w:val="03D3F251"/>
    <w:rsid w:val="049A309A"/>
    <w:rsid w:val="04A6894B"/>
    <w:rsid w:val="052F503C"/>
    <w:rsid w:val="066E42C6"/>
    <w:rsid w:val="0698F59F"/>
    <w:rsid w:val="06DE4EE6"/>
    <w:rsid w:val="07E406B8"/>
    <w:rsid w:val="080450D9"/>
    <w:rsid w:val="08140B98"/>
    <w:rsid w:val="090B9EEB"/>
    <w:rsid w:val="09C38CEE"/>
    <w:rsid w:val="0A2F3AB0"/>
    <w:rsid w:val="0A8EAF9C"/>
    <w:rsid w:val="0ABE1FC1"/>
    <w:rsid w:val="0B09721E"/>
    <w:rsid w:val="0B1E253C"/>
    <w:rsid w:val="0BBFF8D6"/>
    <w:rsid w:val="0C617A80"/>
    <w:rsid w:val="0CA0FAC4"/>
    <w:rsid w:val="0D7769BA"/>
    <w:rsid w:val="0E9C5357"/>
    <w:rsid w:val="0EA3A6A8"/>
    <w:rsid w:val="0F32AAC4"/>
    <w:rsid w:val="104E912C"/>
    <w:rsid w:val="108BB5A1"/>
    <w:rsid w:val="1123AF7A"/>
    <w:rsid w:val="1271C917"/>
    <w:rsid w:val="12BC4C7C"/>
    <w:rsid w:val="13387557"/>
    <w:rsid w:val="13588F65"/>
    <w:rsid w:val="1409F080"/>
    <w:rsid w:val="14235740"/>
    <w:rsid w:val="1451CCF6"/>
    <w:rsid w:val="14BE9ADE"/>
    <w:rsid w:val="14FCE95E"/>
    <w:rsid w:val="151D3969"/>
    <w:rsid w:val="152652EF"/>
    <w:rsid w:val="15589DE9"/>
    <w:rsid w:val="15AFFE9F"/>
    <w:rsid w:val="15BD4951"/>
    <w:rsid w:val="16064ED0"/>
    <w:rsid w:val="167CB940"/>
    <w:rsid w:val="1745F664"/>
    <w:rsid w:val="17F0CDB0"/>
    <w:rsid w:val="19011D2C"/>
    <w:rsid w:val="193A060E"/>
    <w:rsid w:val="193F046B"/>
    <w:rsid w:val="19ABAC58"/>
    <w:rsid w:val="19B1D138"/>
    <w:rsid w:val="19E29FCA"/>
    <w:rsid w:val="1A33A4ED"/>
    <w:rsid w:val="1A674A2F"/>
    <w:rsid w:val="1A6C1ABB"/>
    <w:rsid w:val="1AF99715"/>
    <w:rsid w:val="1CA5CCDF"/>
    <w:rsid w:val="1D03AFB3"/>
    <w:rsid w:val="1DD7BF80"/>
    <w:rsid w:val="1DDD61A1"/>
    <w:rsid w:val="1E3E1FC3"/>
    <w:rsid w:val="1F5CACA0"/>
    <w:rsid w:val="1FA09C72"/>
    <w:rsid w:val="201DBA7A"/>
    <w:rsid w:val="204611A3"/>
    <w:rsid w:val="204E7EFD"/>
    <w:rsid w:val="20A4839E"/>
    <w:rsid w:val="20C9865C"/>
    <w:rsid w:val="20D45B61"/>
    <w:rsid w:val="2152AB7F"/>
    <w:rsid w:val="21D39BC6"/>
    <w:rsid w:val="22281F71"/>
    <w:rsid w:val="2461A3A0"/>
    <w:rsid w:val="247769A5"/>
    <w:rsid w:val="25963DAB"/>
    <w:rsid w:val="25E249BB"/>
    <w:rsid w:val="25F969B2"/>
    <w:rsid w:val="26160C5D"/>
    <w:rsid w:val="262677B3"/>
    <w:rsid w:val="278FEDBD"/>
    <w:rsid w:val="284A2126"/>
    <w:rsid w:val="2933617B"/>
    <w:rsid w:val="29891FC6"/>
    <w:rsid w:val="2A2936B8"/>
    <w:rsid w:val="2A74B9A7"/>
    <w:rsid w:val="2ABB91DB"/>
    <w:rsid w:val="2AC72E0B"/>
    <w:rsid w:val="2B4A6CED"/>
    <w:rsid w:val="2BE28E5C"/>
    <w:rsid w:val="2E071B75"/>
    <w:rsid w:val="2F1264C9"/>
    <w:rsid w:val="2F4819AE"/>
    <w:rsid w:val="2F8CD91A"/>
    <w:rsid w:val="2FB2D157"/>
    <w:rsid w:val="30D0C801"/>
    <w:rsid w:val="317E6A1F"/>
    <w:rsid w:val="322E2E38"/>
    <w:rsid w:val="329C3592"/>
    <w:rsid w:val="32A3CF35"/>
    <w:rsid w:val="33A14A92"/>
    <w:rsid w:val="3420A700"/>
    <w:rsid w:val="34C2E68B"/>
    <w:rsid w:val="34CDF117"/>
    <w:rsid w:val="358EC5C7"/>
    <w:rsid w:val="36AAF981"/>
    <w:rsid w:val="36D2FD9F"/>
    <w:rsid w:val="36EFE658"/>
    <w:rsid w:val="3703F866"/>
    <w:rsid w:val="370FA218"/>
    <w:rsid w:val="37E6E3D7"/>
    <w:rsid w:val="38809AF7"/>
    <w:rsid w:val="3892C50A"/>
    <w:rsid w:val="38B13ADB"/>
    <w:rsid w:val="38C22F5B"/>
    <w:rsid w:val="38C55F5D"/>
    <w:rsid w:val="38D7BBF9"/>
    <w:rsid w:val="38E36CE5"/>
    <w:rsid w:val="39AB0081"/>
    <w:rsid w:val="39B6B930"/>
    <w:rsid w:val="39C8C964"/>
    <w:rsid w:val="3A815792"/>
    <w:rsid w:val="3A835B82"/>
    <w:rsid w:val="3ABFAEAF"/>
    <w:rsid w:val="3AF73DCE"/>
    <w:rsid w:val="3B54AE91"/>
    <w:rsid w:val="3B84D765"/>
    <w:rsid w:val="3C03699A"/>
    <w:rsid w:val="3C316444"/>
    <w:rsid w:val="3C5FC9D6"/>
    <w:rsid w:val="3CC0D78E"/>
    <w:rsid w:val="3CC83724"/>
    <w:rsid w:val="3CE37247"/>
    <w:rsid w:val="3D612145"/>
    <w:rsid w:val="3E6138EC"/>
    <w:rsid w:val="403FA3A9"/>
    <w:rsid w:val="409A3B58"/>
    <w:rsid w:val="40BD9FD3"/>
    <w:rsid w:val="4100788D"/>
    <w:rsid w:val="4204D7D0"/>
    <w:rsid w:val="422F7A97"/>
    <w:rsid w:val="42A0F7B6"/>
    <w:rsid w:val="42DA4398"/>
    <w:rsid w:val="43768ECB"/>
    <w:rsid w:val="43C35EC4"/>
    <w:rsid w:val="43D732EF"/>
    <w:rsid w:val="4441A01F"/>
    <w:rsid w:val="44C76A92"/>
    <w:rsid w:val="4665DB0B"/>
    <w:rsid w:val="46A63A0D"/>
    <w:rsid w:val="46FAFF86"/>
    <w:rsid w:val="4732C2EF"/>
    <w:rsid w:val="47B96B59"/>
    <w:rsid w:val="4802D860"/>
    <w:rsid w:val="49848FDE"/>
    <w:rsid w:val="499C144F"/>
    <w:rsid w:val="4AEDE047"/>
    <w:rsid w:val="4B019343"/>
    <w:rsid w:val="4B0ECBCD"/>
    <w:rsid w:val="4B15A2B4"/>
    <w:rsid w:val="4B303353"/>
    <w:rsid w:val="4B31C794"/>
    <w:rsid w:val="4B3E9643"/>
    <w:rsid w:val="4BC31590"/>
    <w:rsid w:val="4BC3F980"/>
    <w:rsid w:val="4CA97962"/>
    <w:rsid w:val="4CDB5BF9"/>
    <w:rsid w:val="4CFC1449"/>
    <w:rsid w:val="4D6A58B6"/>
    <w:rsid w:val="4DAB135A"/>
    <w:rsid w:val="4E0F6447"/>
    <w:rsid w:val="4E1B3D53"/>
    <w:rsid w:val="4F2C8A96"/>
    <w:rsid w:val="4F4E92C5"/>
    <w:rsid w:val="4FA0D07D"/>
    <w:rsid w:val="50112130"/>
    <w:rsid w:val="51EA4816"/>
    <w:rsid w:val="5218ED94"/>
    <w:rsid w:val="52354DDE"/>
    <w:rsid w:val="525217C2"/>
    <w:rsid w:val="52B2C4B3"/>
    <w:rsid w:val="52B8A2A2"/>
    <w:rsid w:val="52BA0014"/>
    <w:rsid w:val="52E67974"/>
    <w:rsid w:val="53686C33"/>
    <w:rsid w:val="53AAD1F0"/>
    <w:rsid w:val="53AC144B"/>
    <w:rsid w:val="53E17014"/>
    <w:rsid w:val="54485956"/>
    <w:rsid w:val="54CFBAEF"/>
    <w:rsid w:val="552CB00A"/>
    <w:rsid w:val="5552AA70"/>
    <w:rsid w:val="5567803F"/>
    <w:rsid w:val="56212D8F"/>
    <w:rsid w:val="56710216"/>
    <w:rsid w:val="56B97BE0"/>
    <w:rsid w:val="56ED68E2"/>
    <w:rsid w:val="57828C3B"/>
    <w:rsid w:val="57AB9668"/>
    <w:rsid w:val="58766132"/>
    <w:rsid w:val="590EADBB"/>
    <w:rsid w:val="5969A79E"/>
    <w:rsid w:val="598C074B"/>
    <w:rsid w:val="5A3F5A6D"/>
    <w:rsid w:val="5A6BFFE0"/>
    <w:rsid w:val="5A7C71F8"/>
    <w:rsid w:val="5A8DC259"/>
    <w:rsid w:val="5A99E537"/>
    <w:rsid w:val="5B2DC91C"/>
    <w:rsid w:val="5B795509"/>
    <w:rsid w:val="5BC1EBF4"/>
    <w:rsid w:val="5C727676"/>
    <w:rsid w:val="5C99BC6D"/>
    <w:rsid w:val="5CB8C322"/>
    <w:rsid w:val="5CDACCD4"/>
    <w:rsid w:val="5ED940C5"/>
    <w:rsid w:val="5F2B0C24"/>
    <w:rsid w:val="5F36F399"/>
    <w:rsid w:val="5F551ED4"/>
    <w:rsid w:val="5F6E6B8D"/>
    <w:rsid w:val="5F908D99"/>
    <w:rsid w:val="5FFD0754"/>
    <w:rsid w:val="6091E689"/>
    <w:rsid w:val="60C41BD9"/>
    <w:rsid w:val="60D0C4F7"/>
    <w:rsid w:val="61AE05F4"/>
    <w:rsid w:val="61DCC3D3"/>
    <w:rsid w:val="626E132D"/>
    <w:rsid w:val="62E7ECCE"/>
    <w:rsid w:val="62F5943B"/>
    <w:rsid w:val="63384FBF"/>
    <w:rsid w:val="636F42DD"/>
    <w:rsid w:val="63BD3AA6"/>
    <w:rsid w:val="64195FB5"/>
    <w:rsid w:val="643DD14B"/>
    <w:rsid w:val="649DB9DB"/>
    <w:rsid w:val="64AC1807"/>
    <w:rsid w:val="650B133E"/>
    <w:rsid w:val="6594526A"/>
    <w:rsid w:val="65970DF7"/>
    <w:rsid w:val="659E50BA"/>
    <w:rsid w:val="65D02B2C"/>
    <w:rsid w:val="65E67B8B"/>
    <w:rsid w:val="65EDAB85"/>
    <w:rsid w:val="6676ABB9"/>
    <w:rsid w:val="66898C57"/>
    <w:rsid w:val="670C8C21"/>
    <w:rsid w:val="6775720D"/>
    <w:rsid w:val="68256D01"/>
    <w:rsid w:val="68359614"/>
    <w:rsid w:val="6842B400"/>
    <w:rsid w:val="69219383"/>
    <w:rsid w:val="695E7C47"/>
    <w:rsid w:val="6A11F75E"/>
    <w:rsid w:val="6A456EA5"/>
    <w:rsid w:val="6A496408"/>
    <w:rsid w:val="6AB5310F"/>
    <w:rsid w:val="6AD3F93C"/>
    <w:rsid w:val="6AFA4CA8"/>
    <w:rsid w:val="6B6CA6BB"/>
    <w:rsid w:val="6BDE9E6A"/>
    <w:rsid w:val="6BFBC712"/>
    <w:rsid w:val="6C353199"/>
    <w:rsid w:val="6C75B01C"/>
    <w:rsid w:val="6C90344F"/>
    <w:rsid w:val="6DA2218D"/>
    <w:rsid w:val="6DDF2BD5"/>
    <w:rsid w:val="6DF29471"/>
    <w:rsid w:val="6E4EE7E5"/>
    <w:rsid w:val="6EC70B8D"/>
    <w:rsid w:val="6F211E28"/>
    <w:rsid w:val="702D9C29"/>
    <w:rsid w:val="709649FB"/>
    <w:rsid w:val="71032BF6"/>
    <w:rsid w:val="71B6A5C9"/>
    <w:rsid w:val="729C86E9"/>
    <w:rsid w:val="72CCD329"/>
    <w:rsid w:val="73154A37"/>
    <w:rsid w:val="7352762A"/>
    <w:rsid w:val="740BD7DA"/>
    <w:rsid w:val="7430D953"/>
    <w:rsid w:val="7455AD4A"/>
    <w:rsid w:val="74C2F1E5"/>
    <w:rsid w:val="74F2060A"/>
    <w:rsid w:val="756CA1E6"/>
    <w:rsid w:val="757022E2"/>
    <w:rsid w:val="76340ECC"/>
    <w:rsid w:val="76C20D77"/>
    <w:rsid w:val="770D660D"/>
    <w:rsid w:val="77223ED7"/>
    <w:rsid w:val="7780CE34"/>
    <w:rsid w:val="779C986A"/>
    <w:rsid w:val="77B2EBAE"/>
    <w:rsid w:val="78250259"/>
    <w:rsid w:val="78CDD1B0"/>
    <w:rsid w:val="79438B35"/>
    <w:rsid w:val="7989C4B1"/>
    <w:rsid w:val="79D0A0E2"/>
    <w:rsid w:val="7ADA3722"/>
    <w:rsid w:val="7AF24B9A"/>
    <w:rsid w:val="7C49261A"/>
    <w:rsid w:val="7C924495"/>
    <w:rsid w:val="7CC9F5C3"/>
    <w:rsid w:val="7CE227FA"/>
    <w:rsid w:val="7D96904E"/>
    <w:rsid w:val="7E760C27"/>
    <w:rsid w:val="7EDCC770"/>
    <w:rsid w:val="7F22A2C4"/>
    <w:rsid w:val="7F2CC639"/>
    <w:rsid w:val="7F7DE501"/>
    <w:rsid w:val="7FA55DBE"/>
    <w:rsid w:val="7FAD07C5"/>
    <w:rsid w:val="7FEB17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02B2C"/>
  <w15:docId w15:val="{917F1FE0-7EA1-431C-8B26-E39C8243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4D561A"/>
    <w:rPr>
      <w:sz w:val="16"/>
      <w:szCs w:val="16"/>
    </w:rPr>
  </w:style>
  <w:style w:type="paragraph" w:styleId="CommentText">
    <w:name w:val="annotation text"/>
    <w:basedOn w:val="Normal"/>
    <w:link w:val="CommentTextChar"/>
    <w:uiPriority w:val="99"/>
    <w:unhideWhenUsed/>
    <w:rsid w:val="004D561A"/>
    <w:pPr>
      <w:spacing w:line="240" w:lineRule="auto"/>
    </w:pPr>
    <w:rPr>
      <w:sz w:val="20"/>
      <w:szCs w:val="20"/>
    </w:rPr>
  </w:style>
  <w:style w:type="character" w:customStyle="1" w:styleId="CommentTextChar">
    <w:name w:val="Comment Text Char"/>
    <w:basedOn w:val="DefaultParagraphFont"/>
    <w:link w:val="CommentText"/>
    <w:uiPriority w:val="99"/>
    <w:rsid w:val="004D561A"/>
    <w:rPr>
      <w:sz w:val="20"/>
      <w:szCs w:val="20"/>
    </w:rPr>
  </w:style>
  <w:style w:type="paragraph" w:styleId="CommentSubject">
    <w:name w:val="annotation subject"/>
    <w:basedOn w:val="CommentText"/>
    <w:next w:val="CommentText"/>
    <w:link w:val="CommentSubjectChar"/>
    <w:uiPriority w:val="99"/>
    <w:semiHidden/>
    <w:unhideWhenUsed/>
    <w:rsid w:val="004D561A"/>
    <w:rPr>
      <w:b/>
      <w:bCs/>
    </w:rPr>
  </w:style>
  <w:style w:type="character" w:customStyle="1" w:styleId="CommentSubjectChar">
    <w:name w:val="Comment Subject Char"/>
    <w:basedOn w:val="CommentTextChar"/>
    <w:link w:val="CommentSubject"/>
    <w:uiPriority w:val="99"/>
    <w:semiHidden/>
    <w:rsid w:val="004D561A"/>
    <w:rPr>
      <w:b/>
      <w:bCs/>
      <w:sz w:val="20"/>
      <w:szCs w:val="20"/>
    </w:rPr>
  </w:style>
  <w:style w:type="paragraph" w:styleId="BalloonText">
    <w:name w:val="Balloon Text"/>
    <w:basedOn w:val="Normal"/>
    <w:link w:val="BalloonTextChar"/>
    <w:uiPriority w:val="99"/>
    <w:semiHidden/>
    <w:unhideWhenUsed/>
    <w:rsid w:val="004D56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61A"/>
    <w:rPr>
      <w:rFonts w:ascii="Segoe UI" w:hAnsi="Segoe UI" w:cs="Segoe UI"/>
      <w:sz w:val="18"/>
      <w:szCs w:val="18"/>
    </w:rPr>
  </w:style>
  <w:style w:type="paragraph" w:customStyle="1" w:styleId="Default">
    <w:name w:val="Default"/>
    <w:rsid w:val="00137FC9"/>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037E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EB6"/>
    <w:rPr>
      <w:lang w:val="en-GB"/>
    </w:rPr>
  </w:style>
  <w:style w:type="paragraph" w:styleId="Footer">
    <w:name w:val="footer"/>
    <w:basedOn w:val="Normal"/>
    <w:link w:val="FooterChar"/>
    <w:uiPriority w:val="99"/>
    <w:unhideWhenUsed/>
    <w:rsid w:val="00037E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EB6"/>
    <w:rPr>
      <w:lang w:val="en-GB"/>
    </w:rPr>
  </w:style>
  <w:style w:type="paragraph" w:styleId="Revision">
    <w:name w:val="Revision"/>
    <w:hidden/>
    <w:uiPriority w:val="99"/>
    <w:semiHidden/>
    <w:rsid w:val="0074426E"/>
    <w:pPr>
      <w:spacing w:after="0" w:line="240" w:lineRule="auto"/>
    </w:pPr>
    <w:rPr>
      <w:lang w:val="en-GB"/>
    </w:rPr>
  </w:style>
  <w:style w:type="paragraph" w:customStyle="1" w:styleId="paragraph">
    <w:name w:val="paragraph"/>
    <w:basedOn w:val="Normal"/>
    <w:rsid w:val="00F92F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92F9B"/>
  </w:style>
  <w:style w:type="character" w:customStyle="1" w:styleId="eop">
    <w:name w:val="eop"/>
    <w:basedOn w:val="DefaultParagraphFont"/>
    <w:rsid w:val="00F92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205061">
      <w:bodyDiv w:val="1"/>
      <w:marLeft w:val="0"/>
      <w:marRight w:val="0"/>
      <w:marTop w:val="0"/>
      <w:marBottom w:val="0"/>
      <w:divBdr>
        <w:top w:val="none" w:sz="0" w:space="0" w:color="auto"/>
        <w:left w:val="none" w:sz="0" w:space="0" w:color="auto"/>
        <w:bottom w:val="none" w:sz="0" w:space="0" w:color="auto"/>
        <w:right w:val="none" w:sz="0" w:space="0" w:color="auto"/>
      </w:divBdr>
    </w:div>
    <w:div w:id="1264341674">
      <w:bodyDiv w:val="1"/>
      <w:marLeft w:val="0"/>
      <w:marRight w:val="0"/>
      <w:marTop w:val="0"/>
      <w:marBottom w:val="0"/>
      <w:divBdr>
        <w:top w:val="none" w:sz="0" w:space="0" w:color="auto"/>
        <w:left w:val="none" w:sz="0" w:space="0" w:color="auto"/>
        <w:bottom w:val="none" w:sz="0" w:space="0" w:color="auto"/>
        <w:right w:val="none" w:sz="0" w:space="0" w:color="auto"/>
      </w:divBdr>
      <w:divsChild>
        <w:div w:id="256254771">
          <w:marLeft w:val="0"/>
          <w:marRight w:val="0"/>
          <w:marTop w:val="0"/>
          <w:marBottom w:val="0"/>
          <w:divBdr>
            <w:top w:val="none" w:sz="0" w:space="0" w:color="auto"/>
            <w:left w:val="none" w:sz="0" w:space="0" w:color="auto"/>
            <w:bottom w:val="none" w:sz="0" w:space="0" w:color="auto"/>
            <w:right w:val="none" w:sz="0" w:space="0" w:color="auto"/>
          </w:divBdr>
          <w:divsChild>
            <w:div w:id="422262563">
              <w:marLeft w:val="0"/>
              <w:marRight w:val="0"/>
              <w:marTop w:val="0"/>
              <w:marBottom w:val="0"/>
              <w:divBdr>
                <w:top w:val="none" w:sz="0" w:space="0" w:color="auto"/>
                <w:left w:val="none" w:sz="0" w:space="0" w:color="auto"/>
                <w:bottom w:val="none" w:sz="0" w:space="0" w:color="auto"/>
                <w:right w:val="none" w:sz="0" w:space="0" w:color="auto"/>
              </w:divBdr>
            </w:div>
            <w:div w:id="1183742018">
              <w:marLeft w:val="0"/>
              <w:marRight w:val="0"/>
              <w:marTop w:val="0"/>
              <w:marBottom w:val="0"/>
              <w:divBdr>
                <w:top w:val="none" w:sz="0" w:space="0" w:color="auto"/>
                <w:left w:val="none" w:sz="0" w:space="0" w:color="auto"/>
                <w:bottom w:val="none" w:sz="0" w:space="0" w:color="auto"/>
                <w:right w:val="none" w:sz="0" w:space="0" w:color="auto"/>
              </w:divBdr>
            </w:div>
            <w:div w:id="1732381574">
              <w:marLeft w:val="0"/>
              <w:marRight w:val="0"/>
              <w:marTop w:val="0"/>
              <w:marBottom w:val="0"/>
              <w:divBdr>
                <w:top w:val="none" w:sz="0" w:space="0" w:color="auto"/>
                <w:left w:val="none" w:sz="0" w:space="0" w:color="auto"/>
                <w:bottom w:val="none" w:sz="0" w:space="0" w:color="auto"/>
                <w:right w:val="none" w:sz="0" w:space="0" w:color="auto"/>
              </w:divBdr>
            </w:div>
          </w:divsChild>
        </w:div>
        <w:div w:id="674191794">
          <w:marLeft w:val="0"/>
          <w:marRight w:val="0"/>
          <w:marTop w:val="0"/>
          <w:marBottom w:val="0"/>
          <w:divBdr>
            <w:top w:val="none" w:sz="0" w:space="0" w:color="auto"/>
            <w:left w:val="none" w:sz="0" w:space="0" w:color="auto"/>
            <w:bottom w:val="none" w:sz="0" w:space="0" w:color="auto"/>
            <w:right w:val="none" w:sz="0" w:space="0" w:color="auto"/>
          </w:divBdr>
          <w:divsChild>
            <w:div w:id="21172456">
              <w:marLeft w:val="0"/>
              <w:marRight w:val="0"/>
              <w:marTop w:val="0"/>
              <w:marBottom w:val="0"/>
              <w:divBdr>
                <w:top w:val="none" w:sz="0" w:space="0" w:color="auto"/>
                <w:left w:val="none" w:sz="0" w:space="0" w:color="auto"/>
                <w:bottom w:val="none" w:sz="0" w:space="0" w:color="auto"/>
                <w:right w:val="none" w:sz="0" w:space="0" w:color="auto"/>
              </w:divBdr>
            </w:div>
          </w:divsChild>
        </w:div>
        <w:div w:id="413480818">
          <w:marLeft w:val="0"/>
          <w:marRight w:val="0"/>
          <w:marTop w:val="0"/>
          <w:marBottom w:val="0"/>
          <w:divBdr>
            <w:top w:val="none" w:sz="0" w:space="0" w:color="auto"/>
            <w:left w:val="none" w:sz="0" w:space="0" w:color="auto"/>
            <w:bottom w:val="none" w:sz="0" w:space="0" w:color="auto"/>
            <w:right w:val="none" w:sz="0" w:space="0" w:color="auto"/>
          </w:divBdr>
        </w:div>
        <w:div w:id="489372817">
          <w:marLeft w:val="0"/>
          <w:marRight w:val="0"/>
          <w:marTop w:val="0"/>
          <w:marBottom w:val="0"/>
          <w:divBdr>
            <w:top w:val="none" w:sz="0" w:space="0" w:color="auto"/>
            <w:left w:val="none" w:sz="0" w:space="0" w:color="auto"/>
            <w:bottom w:val="none" w:sz="0" w:space="0" w:color="auto"/>
            <w:right w:val="none" w:sz="0" w:space="0" w:color="auto"/>
          </w:divBdr>
        </w:div>
        <w:div w:id="569578808">
          <w:marLeft w:val="0"/>
          <w:marRight w:val="0"/>
          <w:marTop w:val="0"/>
          <w:marBottom w:val="0"/>
          <w:divBdr>
            <w:top w:val="none" w:sz="0" w:space="0" w:color="auto"/>
            <w:left w:val="none" w:sz="0" w:space="0" w:color="auto"/>
            <w:bottom w:val="none" w:sz="0" w:space="0" w:color="auto"/>
            <w:right w:val="none" w:sz="0" w:space="0" w:color="auto"/>
          </w:divBdr>
        </w:div>
        <w:div w:id="627900975">
          <w:marLeft w:val="0"/>
          <w:marRight w:val="0"/>
          <w:marTop w:val="0"/>
          <w:marBottom w:val="0"/>
          <w:divBdr>
            <w:top w:val="none" w:sz="0" w:space="0" w:color="auto"/>
            <w:left w:val="none" w:sz="0" w:space="0" w:color="auto"/>
            <w:bottom w:val="none" w:sz="0" w:space="0" w:color="auto"/>
            <w:right w:val="none" w:sz="0" w:space="0" w:color="auto"/>
          </w:divBdr>
        </w:div>
        <w:div w:id="1334138385">
          <w:marLeft w:val="0"/>
          <w:marRight w:val="0"/>
          <w:marTop w:val="0"/>
          <w:marBottom w:val="0"/>
          <w:divBdr>
            <w:top w:val="none" w:sz="0" w:space="0" w:color="auto"/>
            <w:left w:val="none" w:sz="0" w:space="0" w:color="auto"/>
            <w:bottom w:val="none" w:sz="0" w:space="0" w:color="auto"/>
            <w:right w:val="none" w:sz="0" w:space="0" w:color="auto"/>
          </w:divBdr>
        </w:div>
        <w:div w:id="1642078037">
          <w:marLeft w:val="0"/>
          <w:marRight w:val="0"/>
          <w:marTop w:val="0"/>
          <w:marBottom w:val="0"/>
          <w:divBdr>
            <w:top w:val="none" w:sz="0" w:space="0" w:color="auto"/>
            <w:left w:val="none" w:sz="0" w:space="0" w:color="auto"/>
            <w:bottom w:val="none" w:sz="0" w:space="0" w:color="auto"/>
            <w:right w:val="none" w:sz="0" w:space="0" w:color="auto"/>
          </w:divBdr>
        </w:div>
        <w:div w:id="269364985">
          <w:marLeft w:val="0"/>
          <w:marRight w:val="0"/>
          <w:marTop w:val="0"/>
          <w:marBottom w:val="0"/>
          <w:divBdr>
            <w:top w:val="none" w:sz="0" w:space="0" w:color="auto"/>
            <w:left w:val="none" w:sz="0" w:space="0" w:color="auto"/>
            <w:bottom w:val="none" w:sz="0" w:space="0" w:color="auto"/>
            <w:right w:val="none" w:sz="0" w:space="0" w:color="auto"/>
          </w:divBdr>
        </w:div>
        <w:div w:id="711223958">
          <w:marLeft w:val="0"/>
          <w:marRight w:val="0"/>
          <w:marTop w:val="0"/>
          <w:marBottom w:val="0"/>
          <w:divBdr>
            <w:top w:val="none" w:sz="0" w:space="0" w:color="auto"/>
            <w:left w:val="none" w:sz="0" w:space="0" w:color="auto"/>
            <w:bottom w:val="none" w:sz="0" w:space="0" w:color="auto"/>
            <w:right w:val="none" w:sz="0" w:space="0" w:color="auto"/>
          </w:divBdr>
        </w:div>
        <w:div w:id="427388778">
          <w:marLeft w:val="0"/>
          <w:marRight w:val="0"/>
          <w:marTop w:val="0"/>
          <w:marBottom w:val="0"/>
          <w:divBdr>
            <w:top w:val="none" w:sz="0" w:space="0" w:color="auto"/>
            <w:left w:val="none" w:sz="0" w:space="0" w:color="auto"/>
            <w:bottom w:val="none" w:sz="0" w:space="0" w:color="auto"/>
            <w:right w:val="none" w:sz="0" w:space="0" w:color="auto"/>
          </w:divBdr>
        </w:div>
        <w:div w:id="1688172847">
          <w:marLeft w:val="0"/>
          <w:marRight w:val="0"/>
          <w:marTop w:val="0"/>
          <w:marBottom w:val="0"/>
          <w:divBdr>
            <w:top w:val="none" w:sz="0" w:space="0" w:color="auto"/>
            <w:left w:val="none" w:sz="0" w:space="0" w:color="auto"/>
            <w:bottom w:val="none" w:sz="0" w:space="0" w:color="auto"/>
            <w:right w:val="none" w:sz="0" w:space="0" w:color="auto"/>
          </w:divBdr>
        </w:div>
        <w:div w:id="506752096">
          <w:marLeft w:val="0"/>
          <w:marRight w:val="0"/>
          <w:marTop w:val="0"/>
          <w:marBottom w:val="0"/>
          <w:divBdr>
            <w:top w:val="none" w:sz="0" w:space="0" w:color="auto"/>
            <w:left w:val="none" w:sz="0" w:space="0" w:color="auto"/>
            <w:bottom w:val="none" w:sz="0" w:space="0" w:color="auto"/>
            <w:right w:val="none" w:sz="0" w:space="0" w:color="auto"/>
          </w:divBdr>
        </w:div>
        <w:div w:id="1097217129">
          <w:marLeft w:val="0"/>
          <w:marRight w:val="0"/>
          <w:marTop w:val="0"/>
          <w:marBottom w:val="0"/>
          <w:divBdr>
            <w:top w:val="none" w:sz="0" w:space="0" w:color="auto"/>
            <w:left w:val="none" w:sz="0" w:space="0" w:color="auto"/>
            <w:bottom w:val="none" w:sz="0" w:space="0" w:color="auto"/>
            <w:right w:val="none" w:sz="0" w:space="0" w:color="auto"/>
          </w:divBdr>
        </w:div>
        <w:div w:id="1058239081">
          <w:marLeft w:val="0"/>
          <w:marRight w:val="0"/>
          <w:marTop w:val="0"/>
          <w:marBottom w:val="0"/>
          <w:divBdr>
            <w:top w:val="none" w:sz="0" w:space="0" w:color="auto"/>
            <w:left w:val="none" w:sz="0" w:space="0" w:color="auto"/>
            <w:bottom w:val="none" w:sz="0" w:space="0" w:color="auto"/>
            <w:right w:val="none" w:sz="0" w:space="0" w:color="auto"/>
          </w:divBdr>
        </w:div>
        <w:div w:id="1472938354">
          <w:marLeft w:val="0"/>
          <w:marRight w:val="0"/>
          <w:marTop w:val="0"/>
          <w:marBottom w:val="0"/>
          <w:divBdr>
            <w:top w:val="none" w:sz="0" w:space="0" w:color="auto"/>
            <w:left w:val="none" w:sz="0" w:space="0" w:color="auto"/>
            <w:bottom w:val="none" w:sz="0" w:space="0" w:color="auto"/>
            <w:right w:val="none" w:sz="0" w:space="0" w:color="auto"/>
          </w:divBdr>
        </w:div>
        <w:div w:id="1416128046">
          <w:marLeft w:val="0"/>
          <w:marRight w:val="0"/>
          <w:marTop w:val="0"/>
          <w:marBottom w:val="0"/>
          <w:divBdr>
            <w:top w:val="none" w:sz="0" w:space="0" w:color="auto"/>
            <w:left w:val="none" w:sz="0" w:space="0" w:color="auto"/>
            <w:bottom w:val="none" w:sz="0" w:space="0" w:color="auto"/>
            <w:right w:val="none" w:sz="0" w:space="0" w:color="auto"/>
          </w:divBdr>
        </w:div>
        <w:div w:id="181944755">
          <w:marLeft w:val="0"/>
          <w:marRight w:val="0"/>
          <w:marTop w:val="0"/>
          <w:marBottom w:val="0"/>
          <w:divBdr>
            <w:top w:val="none" w:sz="0" w:space="0" w:color="auto"/>
            <w:left w:val="none" w:sz="0" w:space="0" w:color="auto"/>
            <w:bottom w:val="none" w:sz="0" w:space="0" w:color="auto"/>
            <w:right w:val="none" w:sz="0" w:space="0" w:color="auto"/>
          </w:divBdr>
        </w:div>
        <w:div w:id="2068533733">
          <w:marLeft w:val="0"/>
          <w:marRight w:val="0"/>
          <w:marTop w:val="0"/>
          <w:marBottom w:val="0"/>
          <w:divBdr>
            <w:top w:val="none" w:sz="0" w:space="0" w:color="auto"/>
            <w:left w:val="none" w:sz="0" w:space="0" w:color="auto"/>
            <w:bottom w:val="none" w:sz="0" w:space="0" w:color="auto"/>
            <w:right w:val="none" w:sz="0" w:space="0" w:color="auto"/>
          </w:divBdr>
        </w:div>
        <w:div w:id="1580020120">
          <w:marLeft w:val="0"/>
          <w:marRight w:val="0"/>
          <w:marTop w:val="0"/>
          <w:marBottom w:val="0"/>
          <w:divBdr>
            <w:top w:val="none" w:sz="0" w:space="0" w:color="auto"/>
            <w:left w:val="none" w:sz="0" w:space="0" w:color="auto"/>
            <w:bottom w:val="none" w:sz="0" w:space="0" w:color="auto"/>
            <w:right w:val="none" w:sz="0" w:space="0" w:color="auto"/>
          </w:divBdr>
        </w:div>
        <w:div w:id="904024859">
          <w:marLeft w:val="0"/>
          <w:marRight w:val="0"/>
          <w:marTop w:val="0"/>
          <w:marBottom w:val="0"/>
          <w:divBdr>
            <w:top w:val="none" w:sz="0" w:space="0" w:color="auto"/>
            <w:left w:val="none" w:sz="0" w:space="0" w:color="auto"/>
            <w:bottom w:val="none" w:sz="0" w:space="0" w:color="auto"/>
            <w:right w:val="none" w:sz="0" w:space="0" w:color="auto"/>
          </w:divBdr>
        </w:div>
        <w:div w:id="1229075811">
          <w:marLeft w:val="0"/>
          <w:marRight w:val="0"/>
          <w:marTop w:val="0"/>
          <w:marBottom w:val="0"/>
          <w:divBdr>
            <w:top w:val="none" w:sz="0" w:space="0" w:color="auto"/>
            <w:left w:val="none" w:sz="0" w:space="0" w:color="auto"/>
            <w:bottom w:val="none" w:sz="0" w:space="0" w:color="auto"/>
            <w:right w:val="none" w:sz="0" w:space="0" w:color="auto"/>
          </w:divBdr>
        </w:div>
        <w:div w:id="751974250">
          <w:marLeft w:val="0"/>
          <w:marRight w:val="0"/>
          <w:marTop w:val="0"/>
          <w:marBottom w:val="0"/>
          <w:divBdr>
            <w:top w:val="none" w:sz="0" w:space="0" w:color="auto"/>
            <w:left w:val="none" w:sz="0" w:space="0" w:color="auto"/>
            <w:bottom w:val="none" w:sz="0" w:space="0" w:color="auto"/>
            <w:right w:val="none" w:sz="0" w:space="0" w:color="auto"/>
          </w:divBdr>
        </w:div>
        <w:div w:id="122042908">
          <w:marLeft w:val="0"/>
          <w:marRight w:val="0"/>
          <w:marTop w:val="0"/>
          <w:marBottom w:val="0"/>
          <w:divBdr>
            <w:top w:val="none" w:sz="0" w:space="0" w:color="auto"/>
            <w:left w:val="none" w:sz="0" w:space="0" w:color="auto"/>
            <w:bottom w:val="none" w:sz="0" w:space="0" w:color="auto"/>
            <w:right w:val="none" w:sz="0" w:space="0" w:color="auto"/>
          </w:divBdr>
        </w:div>
        <w:div w:id="1288896729">
          <w:marLeft w:val="0"/>
          <w:marRight w:val="0"/>
          <w:marTop w:val="0"/>
          <w:marBottom w:val="0"/>
          <w:divBdr>
            <w:top w:val="none" w:sz="0" w:space="0" w:color="auto"/>
            <w:left w:val="none" w:sz="0" w:space="0" w:color="auto"/>
            <w:bottom w:val="none" w:sz="0" w:space="0" w:color="auto"/>
            <w:right w:val="none" w:sz="0" w:space="0" w:color="auto"/>
          </w:divBdr>
        </w:div>
        <w:div w:id="283735071">
          <w:marLeft w:val="0"/>
          <w:marRight w:val="0"/>
          <w:marTop w:val="0"/>
          <w:marBottom w:val="0"/>
          <w:divBdr>
            <w:top w:val="none" w:sz="0" w:space="0" w:color="auto"/>
            <w:left w:val="none" w:sz="0" w:space="0" w:color="auto"/>
            <w:bottom w:val="none" w:sz="0" w:space="0" w:color="auto"/>
            <w:right w:val="none" w:sz="0" w:space="0" w:color="auto"/>
          </w:divBdr>
        </w:div>
        <w:div w:id="1833523306">
          <w:marLeft w:val="0"/>
          <w:marRight w:val="0"/>
          <w:marTop w:val="0"/>
          <w:marBottom w:val="0"/>
          <w:divBdr>
            <w:top w:val="none" w:sz="0" w:space="0" w:color="auto"/>
            <w:left w:val="none" w:sz="0" w:space="0" w:color="auto"/>
            <w:bottom w:val="none" w:sz="0" w:space="0" w:color="auto"/>
            <w:right w:val="none" w:sz="0" w:space="0" w:color="auto"/>
          </w:divBdr>
        </w:div>
        <w:div w:id="1960719117">
          <w:marLeft w:val="0"/>
          <w:marRight w:val="0"/>
          <w:marTop w:val="0"/>
          <w:marBottom w:val="0"/>
          <w:divBdr>
            <w:top w:val="none" w:sz="0" w:space="0" w:color="auto"/>
            <w:left w:val="none" w:sz="0" w:space="0" w:color="auto"/>
            <w:bottom w:val="none" w:sz="0" w:space="0" w:color="auto"/>
            <w:right w:val="none" w:sz="0" w:space="0" w:color="auto"/>
          </w:divBdr>
        </w:div>
        <w:div w:id="16271751">
          <w:marLeft w:val="0"/>
          <w:marRight w:val="0"/>
          <w:marTop w:val="0"/>
          <w:marBottom w:val="0"/>
          <w:divBdr>
            <w:top w:val="none" w:sz="0" w:space="0" w:color="auto"/>
            <w:left w:val="none" w:sz="0" w:space="0" w:color="auto"/>
            <w:bottom w:val="none" w:sz="0" w:space="0" w:color="auto"/>
            <w:right w:val="none" w:sz="0" w:space="0" w:color="auto"/>
          </w:divBdr>
        </w:div>
        <w:div w:id="1664624761">
          <w:marLeft w:val="0"/>
          <w:marRight w:val="0"/>
          <w:marTop w:val="0"/>
          <w:marBottom w:val="0"/>
          <w:divBdr>
            <w:top w:val="none" w:sz="0" w:space="0" w:color="auto"/>
            <w:left w:val="none" w:sz="0" w:space="0" w:color="auto"/>
            <w:bottom w:val="none" w:sz="0" w:space="0" w:color="auto"/>
            <w:right w:val="none" w:sz="0" w:space="0" w:color="auto"/>
          </w:divBdr>
        </w:div>
        <w:div w:id="1211965215">
          <w:marLeft w:val="0"/>
          <w:marRight w:val="0"/>
          <w:marTop w:val="0"/>
          <w:marBottom w:val="0"/>
          <w:divBdr>
            <w:top w:val="none" w:sz="0" w:space="0" w:color="auto"/>
            <w:left w:val="none" w:sz="0" w:space="0" w:color="auto"/>
            <w:bottom w:val="none" w:sz="0" w:space="0" w:color="auto"/>
            <w:right w:val="none" w:sz="0" w:space="0" w:color="auto"/>
          </w:divBdr>
        </w:div>
        <w:div w:id="1929072478">
          <w:marLeft w:val="0"/>
          <w:marRight w:val="0"/>
          <w:marTop w:val="0"/>
          <w:marBottom w:val="0"/>
          <w:divBdr>
            <w:top w:val="none" w:sz="0" w:space="0" w:color="auto"/>
            <w:left w:val="none" w:sz="0" w:space="0" w:color="auto"/>
            <w:bottom w:val="none" w:sz="0" w:space="0" w:color="auto"/>
            <w:right w:val="none" w:sz="0" w:space="0" w:color="auto"/>
          </w:divBdr>
        </w:div>
        <w:div w:id="2063090879">
          <w:marLeft w:val="0"/>
          <w:marRight w:val="0"/>
          <w:marTop w:val="0"/>
          <w:marBottom w:val="0"/>
          <w:divBdr>
            <w:top w:val="none" w:sz="0" w:space="0" w:color="auto"/>
            <w:left w:val="none" w:sz="0" w:space="0" w:color="auto"/>
            <w:bottom w:val="none" w:sz="0" w:space="0" w:color="auto"/>
            <w:right w:val="none" w:sz="0" w:space="0" w:color="auto"/>
          </w:divBdr>
        </w:div>
        <w:div w:id="1842813934">
          <w:marLeft w:val="0"/>
          <w:marRight w:val="0"/>
          <w:marTop w:val="0"/>
          <w:marBottom w:val="0"/>
          <w:divBdr>
            <w:top w:val="none" w:sz="0" w:space="0" w:color="auto"/>
            <w:left w:val="none" w:sz="0" w:space="0" w:color="auto"/>
            <w:bottom w:val="none" w:sz="0" w:space="0" w:color="auto"/>
            <w:right w:val="none" w:sz="0" w:space="0" w:color="auto"/>
          </w:divBdr>
        </w:div>
        <w:div w:id="48648385">
          <w:marLeft w:val="0"/>
          <w:marRight w:val="0"/>
          <w:marTop w:val="0"/>
          <w:marBottom w:val="0"/>
          <w:divBdr>
            <w:top w:val="none" w:sz="0" w:space="0" w:color="auto"/>
            <w:left w:val="none" w:sz="0" w:space="0" w:color="auto"/>
            <w:bottom w:val="none" w:sz="0" w:space="0" w:color="auto"/>
            <w:right w:val="none" w:sz="0" w:space="0" w:color="auto"/>
          </w:divBdr>
        </w:div>
        <w:div w:id="671182526">
          <w:marLeft w:val="0"/>
          <w:marRight w:val="0"/>
          <w:marTop w:val="0"/>
          <w:marBottom w:val="0"/>
          <w:divBdr>
            <w:top w:val="none" w:sz="0" w:space="0" w:color="auto"/>
            <w:left w:val="none" w:sz="0" w:space="0" w:color="auto"/>
            <w:bottom w:val="none" w:sz="0" w:space="0" w:color="auto"/>
            <w:right w:val="none" w:sz="0" w:space="0" w:color="auto"/>
          </w:divBdr>
        </w:div>
        <w:div w:id="495610417">
          <w:marLeft w:val="0"/>
          <w:marRight w:val="0"/>
          <w:marTop w:val="0"/>
          <w:marBottom w:val="0"/>
          <w:divBdr>
            <w:top w:val="none" w:sz="0" w:space="0" w:color="auto"/>
            <w:left w:val="none" w:sz="0" w:space="0" w:color="auto"/>
            <w:bottom w:val="none" w:sz="0" w:space="0" w:color="auto"/>
            <w:right w:val="none" w:sz="0" w:space="0" w:color="auto"/>
          </w:divBdr>
        </w:div>
        <w:div w:id="1975600571">
          <w:marLeft w:val="0"/>
          <w:marRight w:val="0"/>
          <w:marTop w:val="0"/>
          <w:marBottom w:val="0"/>
          <w:divBdr>
            <w:top w:val="none" w:sz="0" w:space="0" w:color="auto"/>
            <w:left w:val="none" w:sz="0" w:space="0" w:color="auto"/>
            <w:bottom w:val="none" w:sz="0" w:space="0" w:color="auto"/>
            <w:right w:val="none" w:sz="0" w:space="0" w:color="auto"/>
          </w:divBdr>
        </w:div>
        <w:div w:id="686096909">
          <w:marLeft w:val="0"/>
          <w:marRight w:val="0"/>
          <w:marTop w:val="0"/>
          <w:marBottom w:val="0"/>
          <w:divBdr>
            <w:top w:val="none" w:sz="0" w:space="0" w:color="auto"/>
            <w:left w:val="none" w:sz="0" w:space="0" w:color="auto"/>
            <w:bottom w:val="none" w:sz="0" w:space="0" w:color="auto"/>
            <w:right w:val="none" w:sz="0" w:space="0" w:color="auto"/>
          </w:divBdr>
        </w:div>
        <w:div w:id="967779728">
          <w:marLeft w:val="0"/>
          <w:marRight w:val="0"/>
          <w:marTop w:val="0"/>
          <w:marBottom w:val="0"/>
          <w:divBdr>
            <w:top w:val="none" w:sz="0" w:space="0" w:color="auto"/>
            <w:left w:val="none" w:sz="0" w:space="0" w:color="auto"/>
            <w:bottom w:val="none" w:sz="0" w:space="0" w:color="auto"/>
            <w:right w:val="none" w:sz="0" w:space="0" w:color="auto"/>
          </w:divBdr>
        </w:div>
        <w:div w:id="556478207">
          <w:marLeft w:val="0"/>
          <w:marRight w:val="0"/>
          <w:marTop w:val="0"/>
          <w:marBottom w:val="0"/>
          <w:divBdr>
            <w:top w:val="none" w:sz="0" w:space="0" w:color="auto"/>
            <w:left w:val="none" w:sz="0" w:space="0" w:color="auto"/>
            <w:bottom w:val="none" w:sz="0" w:space="0" w:color="auto"/>
            <w:right w:val="none" w:sz="0" w:space="0" w:color="auto"/>
          </w:divBdr>
        </w:div>
        <w:div w:id="2117826532">
          <w:marLeft w:val="0"/>
          <w:marRight w:val="0"/>
          <w:marTop w:val="0"/>
          <w:marBottom w:val="0"/>
          <w:divBdr>
            <w:top w:val="none" w:sz="0" w:space="0" w:color="auto"/>
            <w:left w:val="none" w:sz="0" w:space="0" w:color="auto"/>
            <w:bottom w:val="none" w:sz="0" w:space="0" w:color="auto"/>
            <w:right w:val="none" w:sz="0" w:space="0" w:color="auto"/>
          </w:divBdr>
        </w:div>
        <w:div w:id="1328745170">
          <w:marLeft w:val="0"/>
          <w:marRight w:val="0"/>
          <w:marTop w:val="0"/>
          <w:marBottom w:val="0"/>
          <w:divBdr>
            <w:top w:val="none" w:sz="0" w:space="0" w:color="auto"/>
            <w:left w:val="none" w:sz="0" w:space="0" w:color="auto"/>
            <w:bottom w:val="none" w:sz="0" w:space="0" w:color="auto"/>
            <w:right w:val="none" w:sz="0" w:space="0" w:color="auto"/>
          </w:divBdr>
          <w:divsChild>
            <w:div w:id="17585731">
              <w:marLeft w:val="0"/>
              <w:marRight w:val="0"/>
              <w:marTop w:val="0"/>
              <w:marBottom w:val="0"/>
              <w:divBdr>
                <w:top w:val="none" w:sz="0" w:space="0" w:color="auto"/>
                <w:left w:val="none" w:sz="0" w:space="0" w:color="auto"/>
                <w:bottom w:val="none" w:sz="0" w:space="0" w:color="auto"/>
                <w:right w:val="none" w:sz="0" w:space="0" w:color="auto"/>
              </w:divBdr>
            </w:div>
            <w:div w:id="1975476570">
              <w:marLeft w:val="0"/>
              <w:marRight w:val="0"/>
              <w:marTop w:val="0"/>
              <w:marBottom w:val="0"/>
              <w:divBdr>
                <w:top w:val="none" w:sz="0" w:space="0" w:color="auto"/>
                <w:left w:val="none" w:sz="0" w:space="0" w:color="auto"/>
                <w:bottom w:val="none" w:sz="0" w:space="0" w:color="auto"/>
                <w:right w:val="none" w:sz="0" w:space="0" w:color="auto"/>
              </w:divBdr>
            </w:div>
            <w:div w:id="58021926">
              <w:marLeft w:val="0"/>
              <w:marRight w:val="0"/>
              <w:marTop w:val="0"/>
              <w:marBottom w:val="0"/>
              <w:divBdr>
                <w:top w:val="none" w:sz="0" w:space="0" w:color="auto"/>
                <w:left w:val="none" w:sz="0" w:space="0" w:color="auto"/>
                <w:bottom w:val="none" w:sz="0" w:space="0" w:color="auto"/>
                <w:right w:val="none" w:sz="0" w:space="0" w:color="auto"/>
              </w:divBdr>
            </w:div>
          </w:divsChild>
        </w:div>
        <w:div w:id="1016036568">
          <w:marLeft w:val="0"/>
          <w:marRight w:val="0"/>
          <w:marTop w:val="0"/>
          <w:marBottom w:val="0"/>
          <w:divBdr>
            <w:top w:val="none" w:sz="0" w:space="0" w:color="auto"/>
            <w:left w:val="none" w:sz="0" w:space="0" w:color="auto"/>
            <w:bottom w:val="none" w:sz="0" w:space="0" w:color="auto"/>
            <w:right w:val="none" w:sz="0" w:space="0" w:color="auto"/>
          </w:divBdr>
          <w:divsChild>
            <w:div w:id="1024206333">
              <w:marLeft w:val="0"/>
              <w:marRight w:val="0"/>
              <w:marTop w:val="0"/>
              <w:marBottom w:val="0"/>
              <w:divBdr>
                <w:top w:val="none" w:sz="0" w:space="0" w:color="auto"/>
                <w:left w:val="none" w:sz="0" w:space="0" w:color="auto"/>
                <w:bottom w:val="none" w:sz="0" w:space="0" w:color="auto"/>
                <w:right w:val="none" w:sz="0" w:space="0" w:color="auto"/>
              </w:divBdr>
            </w:div>
            <w:div w:id="2007509493">
              <w:marLeft w:val="0"/>
              <w:marRight w:val="0"/>
              <w:marTop w:val="0"/>
              <w:marBottom w:val="0"/>
              <w:divBdr>
                <w:top w:val="none" w:sz="0" w:space="0" w:color="auto"/>
                <w:left w:val="none" w:sz="0" w:space="0" w:color="auto"/>
                <w:bottom w:val="none" w:sz="0" w:space="0" w:color="auto"/>
                <w:right w:val="none" w:sz="0" w:space="0" w:color="auto"/>
              </w:divBdr>
            </w:div>
            <w:div w:id="783303816">
              <w:marLeft w:val="0"/>
              <w:marRight w:val="0"/>
              <w:marTop w:val="0"/>
              <w:marBottom w:val="0"/>
              <w:divBdr>
                <w:top w:val="none" w:sz="0" w:space="0" w:color="auto"/>
                <w:left w:val="none" w:sz="0" w:space="0" w:color="auto"/>
                <w:bottom w:val="none" w:sz="0" w:space="0" w:color="auto"/>
                <w:right w:val="none" w:sz="0" w:space="0" w:color="auto"/>
              </w:divBdr>
            </w:div>
          </w:divsChild>
        </w:div>
        <w:div w:id="299579315">
          <w:marLeft w:val="0"/>
          <w:marRight w:val="0"/>
          <w:marTop w:val="0"/>
          <w:marBottom w:val="0"/>
          <w:divBdr>
            <w:top w:val="none" w:sz="0" w:space="0" w:color="auto"/>
            <w:left w:val="none" w:sz="0" w:space="0" w:color="auto"/>
            <w:bottom w:val="none" w:sz="0" w:space="0" w:color="auto"/>
            <w:right w:val="none" w:sz="0" w:space="0" w:color="auto"/>
          </w:divBdr>
          <w:divsChild>
            <w:div w:id="695424873">
              <w:marLeft w:val="0"/>
              <w:marRight w:val="0"/>
              <w:marTop w:val="0"/>
              <w:marBottom w:val="0"/>
              <w:divBdr>
                <w:top w:val="none" w:sz="0" w:space="0" w:color="auto"/>
                <w:left w:val="none" w:sz="0" w:space="0" w:color="auto"/>
                <w:bottom w:val="none" w:sz="0" w:space="0" w:color="auto"/>
                <w:right w:val="none" w:sz="0" w:space="0" w:color="auto"/>
              </w:divBdr>
            </w:div>
            <w:div w:id="197819035">
              <w:marLeft w:val="0"/>
              <w:marRight w:val="0"/>
              <w:marTop w:val="0"/>
              <w:marBottom w:val="0"/>
              <w:divBdr>
                <w:top w:val="none" w:sz="0" w:space="0" w:color="auto"/>
                <w:left w:val="none" w:sz="0" w:space="0" w:color="auto"/>
                <w:bottom w:val="none" w:sz="0" w:space="0" w:color="auto"/>
                <w:right w:val="none" w:sz="0" w:space="0" w:color="auto"/>
              </w:divBdr>
            </w:div>
            <w:div w:id="1171263481">
              <w:marLeft w:val="0"/>
              <w:marRight w:val="0"/>
              <w:marTop w:val="0"/>
              <w:marBottom w:val="0"/>
              <w:divBdr>
                <w:top w:val="none" w:sz="0" w:space="0" w:color="auto"/>
                <w:left w:val="none" w:sz="0" w:space="0" w:color="auto"/>
                <w:bottom w:val="none" w:sz="0" w:space="0" w:color="auto"/>
                <w:right w:val="none" w:sz="0" w:space="0" w:color="auto"/>
              </w:divBdr>
            </w:div>
            <w:div w:id="1294672457">
              <w:marLeft w:val="0"/>
              <w:marRight w:val="0"/>
              <w:marTop w:val="0"/>
              <w:marBottom w:val="0"/>
              <w:divBdr>
                <w:top w:val="none" w:sz="0" w:space="0" w:color="auto"/>
                <w:left w:val="none" w:sz="0" w:space="0" w:color="auto"/>
                <w:bottom w:val="none" w:sz="0" w:space="0" w:color="auto"/>
                <w:right w:val="none" w:sz="0" w:space="0" w:color="auto"/>
              </w:divBdr>
            </w:div>
            <w:div w:id="1948657844">
              <w:marLeft w:val="0"/>
              <w:marRight w:val="0"/>
              <w:marTop w:val="0"/>
              <w:marBottom w:val="0"/>
              <w:divBdr>
                <w:top w:val="none" w:sz="0" w:space="0" w:color="auto"/>
                <w:left w:val="none" w:sz="0" w:space="0" w:color="auto"/>
                <w:bottom w:val="none" w:sz="0" w:space="0" w:color="auto"/>
                <w:right w:val="none" w:sz="0" w:space="0" w:color="auto"/>
              </w:divBdr>
            </w:div>
          </w:divsChild>
        </w:div>
        <w:div w:id="380596695">
          <w:marLeft w:val="0"/>
          <w:marRight w:val="0"/>
          <w:marTop w:val="0"/>
          <w:marBottom w:val="0"/>
          <w:divBdr>
            <w:top w:val="none" w:sz="0" w:space="0" w:color="auto"/>
            <w:left w:val="none" w:sz="0" w:space="0" w:color="auto"/>
            <w:bottom w:val="none" w:sz="0" w:space="0" w:color="auto"/>
            <w:right w:val="none" w:sz="0" w:space="0" w:color="auto"/>
          </w:divBdr>
          <w:divsChild>
            <w:div w:id="1256745135">
              <w:marLeft w:val="0"/>
              <w:marRight w:val="0"/>
              <w:marTop w:val="0"/>
              <w:marBottom w:val="0"/>
              <w:divBdr>
                <w:top w:val="none" w:sz="0" w:space="0" w:color="auto"/>
                <w:left w:val="none" w:sz="0" w:space="0" w:color="auto"/>
                <w:bottom w:val="none" w:sz="0" w:space="0" w:color="auto"/>
                <w:right w:val="none" w:sz="0" w:space="0" w:color="auto"/>
              </w:divBdr>
            </w:div>
            <w:div w:id="407654107">
              <w:marLeft w:val="0"/>
              <w:marRight w:val="0"/>
              <w:marTop w:val="0"/>
              <w:marBottom w:val="0"/>
              <w:divBdr>
                <w:top w:val="none" w:sz="0" w:space="0" w:color="auto"/>
                <w:left w:val="none" w:sz="0" w:space="0" w:color="auto"/>
                <w:bottom w:val="none" w:sz="0" w:space="0" w:color="auto"/>
                <w:right w:val="none" w:sz="0" w:space="0" w:color="auto"/>
              </w:divBdr>
            </w:div>
            <w:div w:id="1151020572">
              <w:marLeft w:val="0"/>
              <w:marRight w:val="0"/>
              <w:marTop w:val="0"/>
              <w:marBottom w:val="0"/>
              <w:divBdr>
                <w:top w:val="none" w:sz="0" w:space="0" w:color="auto"/>
                <w:left w:val="none" w:sz="0" w:space="0" w:color="auto"/>
                <w:bottom w:val="none" w:sz="0" w:space="0" w:color="auto"/>
                <w:right w:val="none" w:sz="0" w:space="0" w:color="auto"/>
              </w:divBdr>
            </w:div>
            <w:div w:id="2105494949">
              <w:marLeft w:val="0"/>
              <w:marRight w:val="0"/>
              <w:marTop w:val="0"/>
              <w:marBottom w:val="0"/>
              <w:divBdr>
                <w:top w:val="none" w:sz="0" w:space="0" w:color="auto"/>
                <w:left w:val="none" w:sz="0" w:space="0" w:color="auto"/>
                <w:bottom w:val="none" w:sz="0" w:space="0" w:color="auto"/>
                <w:right w:val="none" w:sz="0" w:space="0" w:color="auto"/>
              </w:divBdr>
            </w:div>
            <w:div w:id="1695879466">
              <w:marLeft w:val="0"/>
              <w:marRight w:val="0"/>
              <w:marTop w:val="0"/>
              <w:marBottom w:val="0"/>
              <w:divBdr>
                <w:top w:val="none" w:sz="0" w:space="0" w:color="auto"/>
                <w:left w:val="none" w:sz="0" w:space="0" w:color="auto"/>
                <w:bottom w:val="none" w:sz="0" w:space="0" w:color="auto"/>
                <w:right w:val="none" w:sz="0" w:space="0" w:color="auto"/>
              </w:divBdr>
            </w:div>
          </w:divsChild>
        </w:div>
        <w:div w:id="1380125864">
          <w:marLeft w:val="0"/>
          <w:marRight w:val="0"/>
          <w:marTop w:val="0"/>
          <w:marBottom w:val="0"/>
          <w:divBdr>
            <w:top w:val="none" w:sz="0" w:space="0" w:color="auto"/>
            <w:left w:val="none" w:sz="0" w:space="0" w:color="auto"/>
            <w:bottom w:val="none" w:sz="0" w:space="0" w:color="auto"/>
            <w:right w:val="none" w:sz="0" w:space="0" w:color="auto"/>
          </w:divBdr>
          <w:divsChild>
            <w:div w:id="1580091447">
              <w:marLeft w:val="0"/>
              <w:marRight w:val="0"/>
              <w:marTop w:val="0"/>
              <w:marBottom w:val="0"/>
              <w:divBdr>
                <w:top w:val="none" w:sz="0" w:space="0" w:color="auto"/>
                <w:left w:val="none" w:sz="0" w:space="0" w:color="auto"/>
                <w:bottom w:val="none" w:sz="0" w:space="0" w:color="auto"/>
                <w:right w:val="none" w:sz="0" w:space="0" w:color="auto"/>
              </w:divBdr>
            </w:div>
            <w:div w:id="912856482">
              <w:marLeft w:val="0"/>
              <w:marRight w:val="0"/>
              <w:marTop w:val="0"/>
              <w:marBottom w:val="0"/>
              <w:divBdr>
                <w:top w:val="none" w:sz="0" w:space="0" w:color="auto"/>
                <w:left w:val="none" w:sz="0" w:space="0" w:color="auto"/>
                <w:bottom w:val="none" w:sz="0" w:space="0" w:color="auto"/>
                <w:right w:val="none" w:sz="0" w:space="0" w:color="auto"/>
              </w:divBdr>
            </w:div>
            <w:div w:id="1911695562">
              <w:marLeft w:val="0"/>
              <w:marRight w:val="0"/>
              <w:marTop w:val="0"/>
              <w:marBottom w:val="0"/>
              <w:divBdr>
                <w:top w:val="none" w:sz="0" w:space="0" w:color="auto"/>
                <w:left w:val="none" w:sz="0" w:space="0" w:color="auto"/>
                <w:bottom w:val="none" w:sz="0" w:space="0" w:color="auto"/>
                <w:right w:val="none" w:sz="0" w:space="0" w:color="auto"/>
              </w:divBdr>
            </w:div>
          </w:divsChild>
        </w:div>
        <w:div w:id="312949178">
          <w:marLeft w:val="0"/>
          <w:marRight w:val="0"/>
          <w:marTop w:val="0"/>
          <w:marBottom w:val="0"/>
          <w:divBdr>
            <w:top w:val="none" w:sz="0" w:space="0" w:color="auto"/>
            <w:left w:val="none" w:sz="0" w:space="0" w:color="auto"/>
            <w:bottom w:val="none" w:sz="0" w:space="0" w:color="auto"/>
            <w:right w:val="none" w:sz="0" w:space="0" w:color="auto"/>
          </w:divBdr>
        </w:div>
        <w:div w:id="556819720">
          <w:marLeft w:val="0"/>
          <w:marRight w:val="0"/>
          <w:marTop w:val="0"/>
          <w:marBottom w:val="0"/>
          <w:divBdr>
            <w:top w:val="none" w:sz="0" w:space="0" w:color="auto"/>
            <w:left w:val="none" w:sz="0" w:space="0" w:color="auto"/>
            <w:bottom w:val="none" w:sz="0" w:space="0" w:color="auto"/>
            <w:right w:val="none" w:sz="0" w:space="0" w:color="auto"/>
          </w:divBdr>
        </w:div>
        <w:div w:id="2082557356">
          <w:marLeft w:val="0"/>
          <w:marRight w:val="0"/>
          <w:marTop w:val="0"/>
          <w:marBottom w:val="0"/>
          <w:divBdr>
            <w:top w:val="none" w:sz="0" w:space="0" w:color="auto"/>
            <w:left w:val="none" w:sz="0" w:space="0" w:color="auto"/>
            <w:bottom w:val="none" w:sz="0" w:space="0" w:color="auto"/>
            <w:right w:val="none" w:sz="0" w:space="0" w:color="auto"/>
          </w:divBdr>
        </w:div>
        <w:div w:id="1271402426">
          <w:marLeft w:val="0"/>
          <w:marRight w:val="0"/>
          <w:marTop w:val="0"/>
          <w:marBottom w:val="0"/>
          <w:divBdr>
            <w:top w:val="none" w:sz="0" w:space="0" w:color="auto"/>
            <w:left w:val="none" w:sz="0" w:space="0" w:color="auto"/>
            <w:bottom w:val="none" w:sz="0" w:space="0" w:color="auto"/>
            <w:right w:val="none" w:sz="0" w:space="0" w:color="auto"/>
          </w:divBdr>
        </w:div>
        <w:div w:id="1486388535">
          <w:marLeft w:val="0"/>
          <w:marRight w:val="0"/>
          <w:marTop w:val="0"/>
          <w:marBottom w:val="0"/>
          <w:divBdr>
            <w:top w:val="none" w:sz="0" w:space="0" w:color="auto"/>
            <w:left w:val="none" w:sz="0" w:space="0" w:color="auto"/>
            <w:bottom w:val="none" w:sz="0" w:space="0" w:color="auto"/>
            <w:right w:val="none" w:sz="0" w:space="0" w:color="auto"/>
          </w:divBdr>
        </w:div>
        <w:div w:id="1315913850">
          <w:marLeft w:val="0"/>
          <w:marRight w:val="0"/>
          <w:marTop w:val="0"/>
          <w:marBottom w:val="0"/>
          <w:divBdr>
            <w:top w:val="none" w:sz="0" w:space="0" w:color="auto"/>
            <w:left w:val="none" w:sz="0" w:space="0" w:color="auto"/>
            <w:bottom w:val="none" w:sz="0" w:space="0" w:color="auto"/>
            <w:right w:val="none" w:sz="0" w:space="0" w:color="auto"/>
          </w:divBdr>
        </w:div>
        <w:div w:id="303121998">
          <w:marLeft w:val="0"/>
          <w:marRight w:val="0"/>
          <w:marTop w:val="0"/>
          <w:marBottom w:val="0"/>
          <w:divBdr>
            <w:top w:val="none" w:sz="0" w:space="0" w:color="auto"/>
            <w:left w:val="none" w:sz="0" w:space="0" w:color="auto"/>
            <w:bottom w:val="none" w:sz="0" w:space="0" w:color="auto"/>
            <w:right w:val="none" w:sz="0" w:space="0" w:color="auto"/>
          </w:divBdr>
        </w:div>
        <w:div w:id="929847224">
          <w:marLeft w:val="0"/>
          <w:marRight w:val="0"/>
          <w:marTop w:val="0"/>
          <w:marBottom w:val="0"/>
          <w:divBdr>
            <w:top w:val="none" w:sz="0" w:space="0" w:color="auto"/>
            <w:left w:val="none" w:sz="0" w:space="0" w:color="auto"/>
            <w:bottom w:val="none" w:sz="0" w:space="0" w:color="auto"/>
            <w:right w:val="none" w:sz="0" w:space="0" w:color="auto"/>
          </w:divBdr>
        </w:div>
        <w:div w:id="1116215815">
          <w:marLeft w:val="0"/>
          <w:marRight w:val="0"/>
          <w:marTop w:val="0"/>
          <w:marBottom w:val="0"/>
          <w:divBdr>
            <w:top w:val="none" w:sz="0" w:space="0" w:color="auto"/>
            <w:left w:val="none" w:sz="0" w:space="0" w:color="auto"/>
            <w:bottom w:val="none" w:sz="0" w:space="0" w:color="auto"/>
            <w:right w:val="none" w:sz="0" w:space="0" w:color="auto"/>
          </w:divBdr>
        </w:div>
        <w:div w:id="2115978999">
          <w:marLeft w:val="0"/>
          <w:marRight w:val="0"/>
          <w:marTop w:val="0"/>
          <w:marBottom w:val="0"/>
          <w:divBdr>
            <w:top w:val="none" w:sz="0" w:space="0" w:color="auto"/>
            <w:left w:val="none" w:sz="0" w:space="0" w:color="auto"/>
            <w:bottom w:val="none" w:sz="0" w:space="0" w:color="auto"/>
            <w:right w:val="none" w:sz="0" w:space="0" w:color="auto"/>
          </w:divBdr>
        </w:div>
        <w:div w:id="1576161178">
          <w:marLeft w:val="0"/>
          <w:marRight w:val="0"/>
          <w:marTop w:val="0"/>
          <w:marBottom w:val="0"/>
          <w:divBdr>
            <w:top w:val="none" w:sz="0" w:space="0" w:color="auto"/>
            <w:left w:val="none" w:sz="0" w:space="0" w:color="auto"/>
            <w:bottom w:val="none" w:sz="0" w:space="0" w:color="auto"/>
            <w:right w:val="none" w:sz="0" w:space="0" w:color="auto"/>
          </w:divBdr>
          <w:divsChild>
            <w:div w:id="1397363777">
              <w:marLeft w:val="0"/>
              <w:marRight w:val="0"/>
              <w:marTop w:val="0"/>
              <w:marBottom w:val="0"/>
              <w:divBdr>
                <w:top w:val="none" w:sz="0" w:space="0" w:color="auto"/>
                <w:left w:val="none" w:sz="0" w:space="0" w:color="auto"/>
                <w:bottom w:val="none" w:sz="0" w:space="0" w:color="auto"/>
                <w:right w:val="none" w:sz="0" w:space="0" w:color="auto"/>
              </w:divBdr>
            </w:div>
            <w:div w:id="343099048">
              <w:marLeft w:val="0"/>
              <w:marRight w:val="0"/>
              <w:marTop w:val="0"/>
              <w:marBottom w:val="0"/>
              <w:divBdr>
                <w:top w:val="none" w:sz="0" w:space="0" w:color="auto"/>
                <w:left w:val="none" w:sz="0" w:space="0" w:color="auto"/>
                <w:bottom w:val="none" w:sz="0" w:space="0" w:color="auto"/>
                <w:right w:val="none" w:sz="0" w:space="0" w:color="auto"/>
              </w:divBdr>
            </w:div>
            <w:div w:id="688020596">
              <w:marLeft w:val="0"/>
              <w:marRight w:val="0"/>
              <w:marTop w:val="0"/>
              <w:marBottom w:val="0"/>
              <w:divBdr>
                <w:top w:val="none" w:sz="0" w:space="0" w:color="auto"/>
                <w:left w:val="none" w:sz="0" w:space="0" w:color="auto"/>
                <w:bottom w:val="none" w:sz="0" w:space="0" w:color="auto"/>
                <w:right w:val="none" w:sz="0" w:space="0" w:color="auto"/>
              </w:divBdr>
            </w:div>
            <w:div w:id="1645040511">
              <w:marLeft w:val="0"/>
              <w:marRight w:val="0"/>
              <w:marTop w:val="0"/>
              <w:marBottom w:val="0"/>
              <w:divBdr>
                <w:top w:val="none" w:sz="0" w:space="0" w:color="auto"/>
                <w:left w:val="none" w:sz="0" w:space="0" w:color="auto"/>
                <w:bottom w:val="none" w:sz="0" w:space="0" w:color="auto"/>
                <w:right w:val="none" w:sz="0" w:space="0" w:color="auto"/>
              </w:divBdr>
            </w:div>
          </w:divsChild>
        </w:div>
        <w:div w:id="30157877">
          <w:marLeft w:val="0"/>
          <w:marRight w:val="0"/>
          <w:marTop w:val="0"/>
          <w:marBottom w:val="0"/>
          <w:divBdr>
            <w:top w:val="none" w:sz="0" w:space="0" w:color="auto"/>
            <w:left w:val="none" w:sz="0" w:space="0" w:color="auto"/>
            <w:bottom w:val="none" w:sz="0" w:space="0" w:color="auto"/>
            <w:right w:val="none" w:sz="0" w:space="0" w:color="auto"/>
          </w:divBdr>
          <w:divsChild>
            <w:div w:id="1801847303">
              <w:marLeft w:val="0"/>
              <w:marRight w:val="0"/>
              <w:marTop w:val="0"/>
              <w:marBottom w:val="0"/>
              <w:divBdr>
                <w:top w:val="none" w:sz="0" w:space="0" w:color="auto"/>
                <w:left w:val="none" w:sz="0" w:space="0" w:color="auto"/>
                <w:bottom w:val="none" w:sz="0" w:space="0" w:color="auto"/>
                <w:right w:val="none" w:sz="0" w:space="0" w:color="auto"/>
              </w:divBdr>
            </w:div>
            <w:div w:id="952635480">
              <w:marLeft w:val="0"/>
              <w:marRight w:val="0"/>
              <w:marTop w:val="0"/>
              <w:marBottom w:val="0"/>
              <w:divBdr>
                <w:top w:val="none" w:sz="0" w:space="0" w:color="auto"/>
                <w:left w:val="none" w:sz="0" w:space="0" w:color="auto"/>
                <w:bottom w:val="none" w:sz="0" w:space="0" w:color="auto"/>
                <w:right w:val="none" w:sz="0" w:space="0" w:color="auto"/>
              </w:divBdr>
            </w:div>
          </w:divsChild>
        </w:div>
        <w:div w:id="641471926">
          <w:marLeft w:val="0"/>
          <w:marRight w:val="0"/>
          <w:marTop w:val="0"/>
          <w:marBottom w:val="0"/>
          <w:divBdr>
            <w:top w:val="none" w:sz="0" w:space="0" w:color="auto"/>
            <w:left w:val="none" w:sz="0" w:space="0" w:color="auto"/>
            <w:bottom w:val="none" w:sz="0" w:space="0" w:color="auto"/>
            <w:right w:val="none" w:sz="0" w:space="0" w:color="auto"/>
          </w:divBdr>
          <w:divsChild>
            <w:div w:id="2098745407">
              <w:marLeft w:val="0"/>
              <w:marRight w:val="0"/>
              <w:marTop w:val="0"/>
              <w:marBottom w:val="0"/>
              <w:divBdr>
                <w:top w:val="none" w:sz="0" w:space="0" w:color="auto"/>
                <w:left w:val="none" w:sz="0" w:space="0" w:color="auto"/>
                <w:bottom w:val="none" w:sz="0" w:space="0" w:color="auto"/>
                <w:right w:val="none" w:sz="0" w:space="0" w:color="auto"/>
              </w:divBdr>
            </w:div>
            <w:div w:id="866600362">
              <w:marLeft w:val="0"/>
              <w:marRight w:val="0"/>
              <w:marTop w:val="0"/>
              <w:marBottom w:val="0"/>
              <w:divBdr>
                <w:top w:val="none" w:sz="0" w:space="0" w:color="auto"/>
                <w:left w:val="none" w:sz="0" w:space="0" w:color="auto"/>
                <w:bottom w:val="none" w:sz="0" w:space="0" w:color="auto"/>
                <w:right w:val="none" w:sz="0" w:space="0" w:color="auto"/>
              </w:divBdr>
            </w:div>
            <w:div w:id="822889393">
              <w:marLeft w:val="0"/>
              <w:marRight w:val="0"/>
              <w:marTop w:val="0"/>
              <w:marBottom w:val="0"/>
              <w:divBdr>
                <w:top w:val="none" w:sz="0" w:space="0" w:color="auto"/>
                <w:left w:val="none" w:sz="0" w:space="0" w:color="auto"/>
                <w:bottom w:val="none" w:sz="0" w:space="0" w:color="auto"/>
                <w:right w:val="none" w:sz="0" w:space="0" w:color="auto"/>
              </w:divBdr>
            </w:div>
            <w:div w:id="1698118992">
              <w:marLeft w:val="0"/>
              <w:marRight w:val="0"/>
              <w:marTop w:val="0"/>
              <w:marBottom w:val="0"/>
              <w:divBdr>
                <w:top w:val="none" w:sz="0" w:space="0" w:color="auto"/>
                <w:left w:val="none" w:sz="0" w:space="0" w:color="auto"/>
                <w:bottom w:val="none" w:sz="0" w:space="0" w:color="auto"/>
                <w:right w:val="none" w:sz="0" w:space="0" w:color="auto"/>
              </w:divBdr>
            </w:div>
            <w:div w:id="1870488300">
              <w:marLeft w:val="0"/>
              <w:marRight w:val="0"/>
              <w:marTop w:val="0"/>
              <w:marBottom w:val="0"/>
              <w:divBdr>
                <w:top w:val="none" w:sz="0" w:space="0" w:color="auto"/>
                <w:left w:val="none" w:sz="0" w:space="0" w:color="auto"/>
                <w:bottom w:val="none" w:sz="0" w:space="0" w:color="auto"/>
                <w:right w:val="none" w:sz="0" w:space="0" w:color="auto"/>
              </w:divBdr>
            </w:div>
          </w:divsChild>
        </w:div>
        <w:div w:id="1977448427">
          <w:marLeft w:val="0"/>
          <w:marRight w:val="0"/>
          <w:marTop w:val="0"/>
          <w:marBottom w:val="0"/>
          <w:divBdr>
            <w:top w:val="none" w:sz="0" w:space="0" w:color="auto"/>
            <w:left w:val="none" w:sz="0" w:space="0" w:color="auto"/>
            <w:bottom w:val="none" w:sz="0" w:space="0" w:color="auto"/>
            <w:right w:val="none" w:sz="0" w:space="0" w:color="auto"/>
          </w:divBdr>
          <w:divsChild>
            <w:div w:id="1889414685">
              <w:marLeft w:val="0"/>
              <w:marRight w:val="0"/>
              <w:marTop w:val="0"/>
              <w:marBottom w:val="0"/>
              <w:divBdr>
                <w:top w:val="none" w:sz="0" w:space="0" w:color="auto"/>
                <w:left w:val="none" w:sz="0" w:space="0" w:color="auto"/>
                <w:bottom w:val="none" w:sz="0" w:space="0" w:color="auto"/>
                <w:right w:val="none" w:sz="0" w:space="0" w:color="auto"/>
              </w:divBdr>
            </w:div>
            <w:div w:id="763452079">
              <w:marLeft w:val="0"/>
              <w:marRight w:val="0"/>
              <w:marTop w:val="0"/>
              <w:marBottom w:val="0"/>
              <w:divBdr>
                <w:top w:val="none" w:sz="0" w:space="0" w:color="auto"/>
                <w:left w:val="none" w:sz="0" w:space="0" w:color="auto"/>
                <w:bottom w:val="none" w:sz="0" w:space="0" w:color="auto"/>
                <w:right w:val="none" w:sz="0" w:space="0" w:color="auto"/>
              </w:divBdr>
            </w:div>
            <w:div w:id="40441340">
              <w:marLeft w:val="0"/>
              <w:marRight w:val="0"/>
              <w:marTop w:val="0"/>
              <w:marBottom w:val="0"/>
              <w:divBdr>
                <w:top w:val="none" w:sz="0" w:space="0" w:color="auto"/>
                <w:left w:val="none" w:sz="0" w:space="0" w:color="auto"/>
                <w:bottom w:val="none" w:sz="0" w:space="0" w:color="auto"/>
                <w:right w:val="none" w:sz="0" w:space="0" w:color="auto"/>
              </w:divBdr>
            </w:div>
          </w:divsChild>
        </w:div>
        <w:div w:id="690690083">
          <w:marLeft w:val="0"/>
          <w:marRight w:val="0"/>
          <w:marTop w:val="0"/>
          <w:marBottom w:val="0"/>
          <w:divBdr>
            <w:top w:val="none" w:sz="0" w:space="0" w:color="auto"/>
            <w:left w:val="none" w:sz="0" w:space="0" w:color="auto"/>
            <w:bottom w:val="none" w:sz="0" w:space="0" w:color="auto"/>
            <w:right w:val="none" w:sz="0" w:space="0" w:color="auto"/>
          </w:divBdr>
          <w:divsChild>
            <w:div w:id="780148371">
              <w:marLeft w:val="0"/>
              <w:marRight w:val="0"/>
              <w:marTop w:val="0"/>
              <w:marBottom w:val="0"/>
              <w:divBdr>
                <w:top w:val="none" w:sz="0" w:space="0" w:color="auto"/>
                <w:left w:val="none" w:sz="0" w:space="0" w:color="auto"/>
                <w:bottom w:val="none" w:sz="0" w:space="0" w:color="auto"/>
                <w:right w:val="none" w:sz="0" w:space="0" w:color="auto"/>
              </w:divBdr>
            </w:div>
            <w:div w:id="134763459">
              <w:marLeft w:val="0"/>
              <w:marRight w:val="0"/>
              <w:marTop w:val="0"/>
              <w:marBottom w:val="0"/>
              <w:divBdr>
                <w:top w:val="none" w:sz="0" w:space="0" w:color="auto"/>
                <w:left w:val="none" w:sz="0" w:space="0" w:color="auto"/>
                <w:bottom w:val="none" w:sz="0" w:space="0" w:color="auto"/>
                <w:right w:val="none" w:sz="0" w:space="0" w:color="auto"/>
              </w:divBdr>
            </w:div>
            <w:div w:id="1691299484">
              <w:marLeft w:val="0"/>
              <w:marRight w:val="0"/>
              <w:marTop w:val="0"/>
              <w:marBottom w:val="0"/>
              <w:divBdr>
                <w:top w:val="none" w:sz="0" w:space="0" w:color="auto"/>
                <w:left w:val="none" w:sz="0" w:space="0" w:color="auto"/>
                <w:bottom w:val="none" w:sz="0" w:space="0" w:color="auto"/>
                <w:right w:val="none" w:sz="0" w:space="0" w:color="auto"/>
              </w:divBdr>
            </w:div>
          </w:divsChild>
        </w:div>
        <w:div w:id="2002805037">
          <w:marLeft w:val="0"/>
          <w:marRight w:val="0"/>
          <w:marTop w:val="0"/>
          <w:marBottom w:val="0"/>
          <w:divBdr>
            <w:top w:val="none" w:sz="0" w:space="0" w:color="auto"/>
            <w:left w:val="none" w:sz="0" w:space="0" w:color="auto"/>
            <w:bottom w:val="none" w:sz="0" w:space="0" w:color="auto"/>
            <w:right w:val="none" w:sz="0" w:space="0" w:color="auto"/>
          </w:divBdr>
        </w:div>
        <w:div w:id="296187603">
          <w:marLeft w:val="0"/>
          <w:marRight w:val="0"/>
          <w:marTop w:val="0"/>
          <w:marBottom w:val="0"/>
          <w:divBdr>
            <w:top w:val="none" w:sz="0" w:space="0" w:color="auto"/>
            <w:left w:val="none" w:sz="0" w:space="0" w:color="auto"/>
            <w:bottom w:val="none" w:sz="0" w:space="0" w:color="auto"/>
            <w:right w:val="none" w:sz="0" w:space="0" w:color="auto"/>
          </w:divBdr>
        </w:div>
        <w:div w:id="972175006">
          <w:marLeft w:val="0"/>
          <w:marRight w:val="0"/>
          <w:marTop w:val="0"/>
          <w:marBottom w:val="0"/>
          <w:divBdr>
            <w:top w:val="none" w:sz="0" w:space="0" w:color="auto"/>
            <w:left w:val="none" w:sz="0" w:space="0" w:color="auto"/>
            <w:bottom w:val="none" w:sz="0" w:space="0" w:color="auto"/>
            <w:right w:val="none" w:sz="0" w:space="0" w:color="auto"/>
          </w:divBdr>
        </w:div>
        <w:div w:id="1544515034">
          <w:marLeft w:val="0"/>
          <w:marRight w:val="0"/>
          <w:marTop w:val="0"/>
          <w:marBottom w:val="0"/>
          <w:divBdr>
            <w:top w:val="none" w:sz="0" w:space="0" w:color="auto"/>
            <w:left w:val="none" w:sz="0" w:space="0" w:color="auto"/>
            <w:bottom w:val="none" w:sz="0" w:space="0" w:color="auto"/>
            <w:right w:val="none" w:sz="0" w:space="0" w:color="auto"/>
          </w:divBdr>
        </w:div>
        <w:div w:id="1511022518">
          <w:marLeft w:val="0"/>
          <w:marRight w:val="0"/>
          <w:marTop w:val="0"/>
          <w:marBottom w:val="0"/>
          <w:divBdr>
            <w:top w:val="none" w:sz="0" w:space="0" w:color="auto"/>
            <w:left w:val="none" w:sz="0" w:space="0" w:color="auto"/>
            <w:bottom w:val="none" w:sz="0" w:space="0" w:color="auto"/>
            <w:right w:val="none" w:sz="0" w:space="0" w:color="auto"/>
          </w:divBdr>
        </w:div>
        <w:div w:id="1749112228">
          <w:marLeft w:val="0"/>
          <w:marRight w:val="0"/>
          <w:marTop w:val="0"/>
          <w:marBottom w:val="0"/>
          <w:divBdr>
            <w:top w:val="none" w:sz="0" w:space="0" w:color="auto"/>
            <w:left w:val="none" w:sz="0" w:space="0" w:color="auto"/>
            <w:bottom w:val="none" w:sz="0" w:space="0" w:color="auto"/>
            <w:right w:val="none" w:sz="0" w:space="0" w:color="auto"/>
          </w:divBdr>
          <w:divsChild>
            <w:div w:id="1292326676">
              <w:marLeft w:val="0"/>
              <w:marRight w:val="0"/>
              <w:marTop w:val="0"/>
              <w:marBottom w:val="0"/>
              <w:divBdr>
                <w:top w:val="none" w:sz="0" w:space="0" w:color="auto"/>
                <w:left w:val="none" w:sz="0" w:space="0" w:color="auto"/>
                <w:bottom w:val="none" w:sz="0" w:space="0" w:color="auto"/>
                <w:right w:val="none" w:sz="0" w:space="0" w:color="auto"/>
              </w:divBdr>
            </w:div>
            <w:div w:id="770126863">
              <w:marLeft w:val="0"/>
              <w:marRight w:val="0"/>
              <w:marTop w:val="0"/>
              <w:marBottom w:val="0"/>
              <w:divBdr>
                <w:top w:val="none" w:sz="0" w:space="0" w:color="auto"/>
                <w:left w:val="none" w:sz="0" w:space="0" w:color="auto"/>
                <w:bottom w:val="none" w:sz="0" w:space="0" w:color="auto"/>
                <w:right w:val="none" w:sz="0" w:space="0" w:color="auto"/>
              </w:divBdr>
            </w:div>
            <w:div w:id="1221137038">
              <w:marLeft w:val="0"/>
              <w:marRight w:val="0"/>
              <w:marTop w:val="0"/>
              <w:marBottom w:val="0"/>
              <w:divBdr>
                <w:top w:val="none" w:sz="0" w:space="0" w:color="auto"/>
                <w:left w:val="none" w:sz="0" w:space="0" w:color="auto"/>
                <w:bottom w:val="none" w:sz="0" w:space="0" w:color="auto"/>
                <w:right w:val="none" w:sz="0" w:space="0" w:color="auto"/>
              </w:divBdr>
            </w:div>
          </w:divsChild>
        </w:div>
        <w:div w:id="613638280">
          <w:marLeft w:val="0"/>
          <w:marRight w:val="0"/>
          <w:marTop w:val="0"/>
          <w:marBottom w:val="0"/>
          <w:divBdr>
            <w:top w:val="none" w:sz="0" w:space="0" w:color="auto"/>
            <w:left w:val="none" w:sz="0" w:space="0" w:color="auto"/>
            <w:bottom w:val="none" w:sz="0" w:space="0" w:color="auto"/>
            <w:right w:val="none" w:sz="0" w:space="0" w:color="auto"/>
          </w:divBdr>
        </w:div>
        <w:div w:id="1829636440">
          <w:marLeft w:val="0"/>
          <w:marRight w:val="0"/>
          <w:marTop w:val="0"/>
          <w:marBottom w:val="0"/>
          <w:divBdr>
            <w:top w:val="none" w:sz="0" w:space="0" w:color="auto"/>
            <w:left w:val="none" w:sz="0" w:space="0" w:color="auto"/>
            <w:bottom w:val="none" w:sz="0" w:space="0" w:color="auto"/>
            <w:right w:val="none" w:sz="0" w:space="0" w:color="auto"/>
          </w:divBdr>
        </w:div>
        <w:div w:id="2030064505">
          <w:marLeft w:val="0"/>
          <w:marRight w:val="0"/>
          <w:marTop w:val="0"/>
          <w:marBottom w:val="0"/>
          <w:divBdr>
            <w:top w:val="none" w:sz="0" w:space="0" w:color="auto"/>
            <w:left w:val="none" w:sz="0" w:space="0" w:color="auto"/>
            <w:bottom w:val="none" w:sz="0" w:space="0" w:color="auto"/>
            <w:right w:val="none" w:sz="0" w:space="0" w:color="auto"/>
          </w:divBdr>
        </w:div>
        <w:div w:id="1594119570">
          <w:marLeft w:val="0"/>
          <w:marRight w:val="0"/>
          <w:marTop w:val="0"/>
          <w:marBottom w:val="0"/>
          <w:divBdr>
            <w:top w:val="none" w:sz="0" w:space="0" w:color="auto"/>
            <w:left w:val="none" w:sz="0" w:space="0" w:color="auto"/>
            <w:bottom w:val="none" w:sz="0" w:space="0" w:color="auto"/>
            <w:right w:val="none" w:sz="0" w:space="0" w:color="auto"/>
          </w:divBdr>
        </w:div>
        <w:div w:id="1936328599">
          <w:marLeft w:val="0"/>
          <w:marRight w:val="0"/>
          <w:marTop w:val="0"/>
          <w:marBottom w:val="0"/>
          <w:divBdr>
            <w:top w:val="none" w:sz="0" w:space="0" w:color="auto"/>
            <w:left w:val="none" w:sz="0" w:space="0" w:color="auto"/>
            <w:bottom w:val="none" w:sz="0" w:space="0" w:color="auto"/>
            <w:right w:val="none" w:sz="0" w:space="0" w:color="auto"/>
          </w:divBdr>
        </w:div>
        <w:div w:id="1050494479">
          <w:marLeft w:val="0"/>
          <w:marRight w:val="0"/>
          <w:marTop w:val="0"/>
          <w:marBottom w:val="0"/>
          <w:divBdr>
            <w:top w:val="none" w:sz="0" w:space="0" w:color="auto"/>
            <w:left w:val="none" w:sz="0" w:space="0" w:color="auto"/>
            <w:bottom w:val="none" w:sz="0" w:space="0" w:color="auto"/>
            <w:right w:val="none" w:sz="0" w:space="0" w:color="auto"/>
          </w:divBdr>
        </w:div>
        <w:div w:id="928343071">
          <w:marLeft w:val="0"/>
          <w:marRight w:val="0"/>
          <w:marTop w:val="0"/>
          <w:marBottom w:val="0"/>
          <w:divBdr>
            <w:top w:val="none" w:sz="0" w:space="0" w:color="auto"/>
            <w:left w:val="none" w:sz="0" w:space="0" w:color="auto"/>
            <w:bottom w:val="none" w:sz="0" w:space="0" w:color="auto"/>
            <w:right w:val="none" w:sz="0" w:space="0" w:color="auto"/>
          </w:divBdr>
        </w:div>
        <w:div w:id="558856748">
          <w:marLeft w:val="0"/>
          <w:marRight w:val="0"/>
          <w:marTop w:val="0"/>
          <w:marBottom w:val="0"/>
          <w:divBdr>
            <w:top w:val="none" w:sz="0" w:space="0" w:color="auto"/>
            <w:left w:val="none" w:sz="0" w:space="0" w:color="auto"/>
            <w:bottom w:val="none" w:sz="0" w:space="0" w:color="auto"/>
            <w:right w:val="none" w:sz="0" w:space="0" w:color="auto"/>
          </w:divBdr>
        </w:div>
        <w:div w:id="221256448">
          <w:marLeft w:val="0"/>
          <w:marRight w:val="0"/>
          <w:marTop w:val="0"/>
          <w:marBottom w:val="0"/>
          <w:divBdr>
            <w:top w:val="none" w:sz="0" w:space="0" w:color="auto"/>
            <w:left w:val="none" w:sz="0" w:space="0" w:color="auto"/>
            <w:bottom w:val="none" w:sz="0" w:space="0" w:color="auto"/>
            <w:right w:val="none" w:sz="0" w:space="0" w:color="auto"/>
          </w:divBdr>
        </w:div>
        <w:div w:id="1613829629">
          <w:marLeft w:val="0"/>
          <w:marRight w:val="0"/>
          <w:marTop w:val="0"/>
          <w:marBottom w:val="0"/>
          <w:divBdr>
            <w:top w:val="none" w:sz="0" w:space="0" w:color="auto"/>
            <w:left w:val="none" w:sz="0" w:space="0" w:color="auto"/>
            <w:bottom w:val="none" w:sz="0" w:space="0" w:color="auto"/>
            <w:right w:val="none" w:sz="0" w:space="0" w:color="auto"/>
          </w:divBdr>
        </w:div>
        <w:div w:id="237594933">
          <w:marLeft w:val="0"/>
          <w:marRight w:val="0"/>
          <w:marTop w:val="0"/>
          <w:marBottom w:val="0"/>
          <w:divBdr>
            <w:top w:val="none" w:sz="0" w:space="0" w:color="auto"/>
            <w:left w:val="none" w:sz="0" w:space="0" w:color="auto"/>
            <w:bottom w:val="none" w:sz="0" w:space="0" w:color="auto"/>
            <w:right w:val="none" w:sz="0" w:space="0" w:color="auto"/>
          </w:divBdr>
        </w:div>
        <w:div w:id="1059287255">
          <w:marLeft w:val="0"/>
          <w:marRight w:val="0"/>
          <w:marTop w:val="0"/>
          <w:marBottom w:val="0"/>
          <w:divBdr>
            <w:top w:val="none" w:sz="0" w:space="0" w:color="auto"/>
            <w:left w:val="none" w:sz="0" w:space="0" w:color="auto"/>
            <w:bottom w:val="none" w:sz="0" w:space="0" w:color="auto"/>
            <w:right w:val="none" w:sz="0" w:space="0" w:color="auto"/>
          </w:divBdr>
        </w:div>
        <w:div w:id="307516904">
          <w:marLeft w:val="0"/>
          <w:marRight w:val="0"/>
          <w:marTop w:val="0"/>
          <w:marBottom w:val="0"/>
          <w:divBdr>
            <w:top w:val="none" w:sz="0" w:space="0" w:color="auto"/>
            <w:left w:val="none" w:sz="0" w:space="0" w:color="auto"/>
            <w:bottom w:val="none" w:sz="0" w:space="0" w:color="auto"/>
            <w:right w:val="none" w:sz="0" w:space="0" w:color="auto"/>
          </w:divBdr>
        </w:div>
      </w:divsChild>
    </w:div>
    <w:div w:id="1549141518">
      <w:bodyDiv w:val="1"/>
      <w:marLeft w:val="0"/>
      <w:marRight w:val="0"/>
      <w:marTop w:val="0"/>
      <w:marBottom w:val="0"/>
      <w:divBdr>
        <w:top w:val="none" w:sz="0" w:space="0" w:color="auto"/>
        <w:left w:val="none" w:sz="0" w:space="0" w:color="auto"/>
        <w:bottom w:val="none" w:sz="0" w:space="0" w:color="auto"/>
        <w:right w:val="none" w:sz="0" w:space="0" w:color="auto"/>
      </w:divBdr>
      <w:divsChild>
        <w:div w:id="1955866034">
          <w:marLeft w:val="0"/>
          <w:marRight w:val="0"/>
          <w:marTop w:val="0"/>
          <w:marBottom w:val="0"/>
          <w:divBdr>
            <w:top w:val="none" w:sz="0" w:space="0" w:color="auto"/>
            <w:left w:val="none" w:sz="0" w:space="0" w:color="auto"/>
            <w:bottom w:val="none" w:sz="0" w:space="0" w:color="auto"/>
            <w:right w:val="none" w:sz="0" w:space="0" w:color="auto"/>
          </w:divBdr>
        </w:div>
        <w:div w:id="1058091004">
          <w:marLeft w:val="0"/>
          <w:marRight w:val="0"/>
          <w:marTop w:val="0"/>
          <w:marBottom w:val="0"/>
          <w:divBdr>
            <w:top w:val="none" w:sz="0" w:space="0" w:color="auto"/>
            <w:left w:val="none" w:sz="0" w:space="0" w:color="auto"/>
            <w:bottom w:val="none" w:sz="0" w:space="0" w:color="auto"/>
            <w:right w:val="none" w:sz="0" w:space="0" w:color="auto"/>
          </w:divBdr>
        </w:div>
      </w:divsChild>
    </w:div>
    <w:div w:id="167302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BF9A037AAE34CAB1227C59CE9F3B0" ma:contentTypeVersion="17" ma:contentTypeDescription="Create a new document." ma:contentTypeScope="" ma:versionID="934077b83d0bf801d11f0c3d9fc608e9">
  <xsd:schema xmlns:xsd="http://www.w3.org/2001/XMLSchema" xmlns:xs="http://www.w3.org/2001/XMLSchema" xmlns:p="http://schemas.microsoft.com/office/2006/metadata/properties" xmlns:ns2="c4be685d-79fb-40a6-b41d-f884960e58f3" xmlns:ns3="52bfaa26-10f6-426d-9b8b-bf0fdbf10b03" targetNamespace="http://schemas.microsoft.com/office/2006/metadata/properties" ma:root="true" ma:fieldsID="ff9abf2d29141ec223f9cd1d73f4d485" ns2:_="" ns3:_="">
    <xsd:import namespace="c4be685d-79fb-40a6-b41d-f884960e58f3"/>
    <xsd:import namespace="52bfaa26-10f6-426d-9b8b-bf0fdbf10b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e685d-79fb-40a6-b41d-f884960e5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960faec-74a3-420b-b522-51e7e1c1875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bfaa26-10f6-426d-9b8b-bf0fdbf10b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291dadd-fae6-4e80-a41f-14e10dbfa7d5}" ma:internalName="TaxCatchAll" ma:showField="CatchAllData" ma:web="52bfaa26-10f6-426d-9b8b-bf0fdbf10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be685d-79fb-40a6-b41d-f884960e58f3">
      <Terms xmlns="http://schemas.microsoft.com/office/infopath/2007/PartnerControls"/>
    </lcf76f155ced4ddcb4097134ff3c332f>
    <TaxCatchAll xmlns="52bfaa26-10f6-426d-9b8b-bf0fdbf10b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1A3E5-8266-4A76-9327-8C4CF2F1E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e685d-79fb-40a6-b41d-f884960e58f3"/>
    <ds:schemaRef ds:uri="52bfaa26-10f6-426d-9b8b-bf0fdbf10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AB7E0E-6B50-4FCD-A86E-F27CA0F6402D}">
  <ds:schemaRefs>
    <ds:schemaRef ds:uri="http://schemas.microsoft.com/office/infopath/2007/PartnerControls"/>
    <ds:schemaRef ds:uri="http://schemas.openxmlformats.org/package/2006/metadata/core-properties"/>
    <ds:schemaRef ds:uri="http://www.w3.org/XML/1998/namespace"/>
    <ds:schemaRef ds:uri="52bfaa26-10f6-426d-9b8b-bf0fdbf10b03"/>
    <ds:schemaRef ds:uri="c4be685d-79fb-40a6-b41d-f884960e58f3"/>
    <ds:schemaRef ds:uri="http://schemas.microsoft.com/office/2006/documentManagement/types"/>
    <ds:schemaRef ds:uri="http://purl.org/dc/elements/1.1/"/>
    <ds:schemaRef ds:uri="http://purl.org/dc/term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5826CCA-FA7C-4CF3-A15F-91B8644E8D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2688</Words>
  <Characters>15324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Miles Lisa (R0A) Manchester University NHS FT</dc:creator>
  <cp:lastModifiedBy>Miles Lisa (R0A) Manchester University NHS FT</cp:lastModifiedBy>
  <cp:revision>96</cp:revision>
  <cp:lastPrinted>2021-10-11T11:39:00Z</cp:lastPrinted>
  <dcterms:created xsi:type="dcterms:W3CDTF">2023-12-04T12:11:00Z</dcterms:created>
  <dcterms:modified xsi:type="dcterms:W3CDTF">2024-11-26T10:04:00Z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0x01010017EBF9A037AAE34CAB1227C59CE9F3B0</vt:lpwstr>
  </property>
  <property fmtid="{D5CDD505-2E9C-101B-9397-08002B2CF9AE}" pid="3" name="MediaServiceImageTags">
    <vt:lpwstr/>
  </property>
</Properties>
</file>